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590"/>
        <w:gridCol w:w="839"/>
        <w:gridCol w:w="142"/>
        <w:gridCol w:w="513"/>
        <w:gridCol w:w="449"/>
        <w:gridCol w:w="205"/>
        <w:gridCol w:w="136"/>
        <w:gridCol w:w="519"/>
        <w:gridCol w:w="414"/>
        <w:gridCol w:w="284"/>
        <w:gridCol w:w="655"/>
        <w:gridCol w:w="73"/>
        <w:gridCol w:w="582"/>
        <w:gridCol w:w="205"/>
        <w:gridCol w:w="75"/>
        <w:gridCol w:w="375"/>
        <w:gridCol w:w="151"/>
        <w:gridCol w:w="407"/>
        <w:gridCol w:w="367"/>
        <w:gridCol w:w="385"/>
        <w:gridCol w:w="183"/>
        <w:gridCol w:w="471"/>
        <w:gridCol w:w="463"/>
        <w:gridCol w:w="192"/>
        <w:gridCol w:w="1411"/>
      </w:tblGrid>
      <w:tr w:rsidR="001E68F7" w:rsidRPr="001E68F7" w14:paraId="32E220A3" w14:textId="77777777" w:rsidTr="00C054B5">
        <w:trPr>
          <w:trHeight w:val="1611"/>
        </w:trPr>
        <w:tc>
          <w:tcPr>
            <w:tcW w:w="6606" w:type="dxa"/>
            <w:gridSpan w:val="14"/>
          </w:tcPr>
          <w:p w14:paraId="4BE9DF48" w14:textId="56768296" w:rsidR="00FD25F0" w:rsidRPr="001E68F7" w:rsidRDefault="00FD25F0" w:rsidP="002F45B5">
            <w:pPr>
              <w:spacing w:after="0" w:line="240" w:lineRule="auto"/>
              <w:ind w:left="38" w:firstLine="7"/>
              <w:rPr>
                <w:rFonts w:ascii="Times New Roman" w:eastAsia="Calibri" w:hAnsi="Times New Roman" w:cs="Times New Roman"/>
              </w:rPr>
            </w:pPr>
            <w:bookmarkStart w:id="0" w:name="t1"/>
            <w:r w:rsidRPr="001E68F7">
              <w:rPr>
                <w:rFonts w:ascii="Times New Roman" w:eastAsia="Calibri" w:hAnsi="Times New Roman" w:cs="Times New Roman"/>
                <w:b/>
              </w:rPr>
              <w:t>Nazwa projektu</w:t>
            </w:r>
          </w:p>
          <w:p w14:paraId="277AC275" w14:textId="1AE3A221" w:rsidR="002528F5" w:rsidRPr="001E68F7" w:rsidRDefault="001519F4" w:rsidP="002F45B5">
            <w:pPr>
              <w:spacing w:after="0" w:line="240" w:lineRule="auto"/>
              <w:ind w:left="38" w:firstLine="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</w:t>
            </w:r>
            <w:r w:rsidR="00FD25F0" w:rsidRPr="001E68F7">
              <w:rPr>
                <w:rFonts w:ascii="Times New Roman" w:eastAsia="Calibri" w:hAnsi="Times New Roman" w:cs="Times New Roman"/>
              </w:rPr>
              <w:t>ozporządzeni</w:t>
            </w:r>
            <w:r>
              <w:rPr>
                <w:rFonts w:ascii="Times New Roman" w:eastAsia="Calibri" w:hAnsi="Times New Roman" w:cs="Times New Roman"/>
              </w:rPr>
              <w:t>e</w:t>
            </w:r>
            <w:r w:rsidR="00FD25F0" w:rsidRPr="001E68F7">
              <w:rPr>
                <w:rFonts w:ascii="Times New Roman" w:eastAsia="Calibri" w:hAnsi="Times New Roman" w:cs="Times New Roman"/>
              </w:rPr>
              <w:t xml:space="preserve"> Ministra Zdrowia zmieniając</w:t>
            </w:r>
            <w:r w:rsidR="00204850">
              <w:rPr>
                <w:rFonts w:ascii="Times New Roman" w:eastAsia="Calibri" w:hAnsi="Times New Roman" w:cs="Times New Roman"/>
              </w:rPr>
              <w:t>e</w:t>
            </w:r>
            <w:r w:rsidR="00FD25F0" w:rsidRPr="001E68F7">
              <w:rPr>
                <w:rFonts w:ascii="Times New Roman" w:eastAsia="Calibri" w:hAnsi="Times New Roman" w:cs="Times New Roman"/>
              </w:rPr>
              <w:t xml:space="preserve"> rozporządzenie </w:t>
            </w:r>
          </w:p>
          <w:p w14:paraId="6627A86B" w14:textId="522D239F" w:rsidR="00FD25F0" w:rsidRPr="001E68F7" w:rsidRDefault="00FD25F0" w:rsidP="002F45B5">
            <w:pPr>
              <w:spacing w:after="0" w:line="240" w:lineRule="auto"/>
              <w:ind w:left="38" w:firstLine="7"/>
              <w:jc w:val="both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w</w:t>
            </w:r>
            <w:r w:rsidR="002528F5" w:rsidRPr="001E68F7">
              <w:rPr>
                <w:rFonts w:ascii="Times New Roman" w:eastAsia="Calibri" w:hAnsi="Times New Roman" w:cs="Times New Roman"/>
              </w:rPr>
              <w:t xml:space="preserve"> </w:t>
            </w:r>
            <w:r w:rsidRPr="001E68F7">
              <w:rPr>
                <w:rFonts w:ascii="Times New Roman" w:eastAsia="Calibri" w:hAnsi="Times New Roman" w:cs="Times New Roman"/>
              </w:rPr>
              <w:t>sprawie świadczeń gwarantowanych z zakresu</w:t>
            </w:r>
            <w:r w:rsidR="00AB12C7">
              <w:rPr>
                <w:rFonts w:ascii="Times New Roman" w:eastAsia="Calibri" w:hAnsi="Times New Roman" w:cs="Times New Roman"/>
              </w:rPr>
              <w:t xml:space="preserve"> leczenia szpitalnego</w:t>
            </w:r>
          </w:p>
          <w:p w14:paraId="1A74F3DB" w14:textId="77777777" w:rsidR="00FD25F0" w:rsidRPr="001E68F7" w:rsidRDefault="00FD25F0" w:rsidP="002F45B5">
            <w:pPr>
              <w:spacing w:after="0" w:line="240" w:lineRule="auto"/>
              <w:ind w:left="38" w:firstLine="7"/>
              <w:jc w:val="both"/>
              <w:rPr>
                <w:rFonts w:ascii="Times New Roman" w:eastAsia="Calibri" w:hAnsi="Times New Roman" w:cs="Times New Roman"/>
              </w:rPr>
            </w:pPr>
          </w:p>
          <w:p w14:paraId="13BBCA04" w14:textId="77777777" w:rsidR="00FD25F0" w:rsidRPr="001E68F7" w:rsidRDefault="00FD25F0" w:rsidP="002F45B5">
            <w:pPr>
              <w:spacing w:after="0" w:line="240" w:lineRule="auto"/>
              <w:ind w:left="38" w:firstLine="7"/>
              <w:rPr>
                <w:rFonts w:ascii="Times New Roman" w:eastAsia="Calibri" w:hAnsi="Times New Roman" w:cs="Times New Roman"/>
                <w:b/>
              </w:rPr>
            </w:pPr>
            <w:r w:rsidRPr="001E68F7">
              <w:rPr>
                <w:rFonts w:ascii="Times New Roman" w:eastAsia="Calibri" w:hAnsi="Times New Roman" w:cs="Times New Roman"/>
                <w:b/>
              </w:rPr>
              <w:t>Ministerstwo wiodące i ministerstwa współpracujące</w:t>
            </w:r>
          </w:p>
          <w:bookmarkEnd w:id="0"/>
          <w:p w14:paraId="2641AA6F" w14:textId="77777777" w:rsidR="00FD25F0" w:rsidRPr="001E68F7" w:rsidRDefault="00FD25F0" w:rsidP="002F45B5">
            <w:pPr>
              <w:spacing w:after="0" w:line="240" w:lineRule="auto"/>
              <w:ind w:left="38" w:firstLine="7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Ministerstwo Zdrowia</w:t>
            </w:r>
          </w:p>
          <w:p w14:paraId="403439E5" w14:textId="77777777" w:rsidR="00FD25F0" w:rsidRPr="001E68F7" w:rsidRDefault="00FD25F0" w:rsidP="002F45B5">
            <w:pPr>
              <w:spacing w:after="0" w:line="240" w:lineRule="auto"/>
              <w:ind w:left="38" w:firstLine="7"/>
              <w:rPr>
                <w:rFonts w:ascii="Times New Roman" w:eastAsia="Calibri" w:hAnsi="Times New Roman" w:cs="Times New Roman"/>
              </w:rPr>
            </w:pPr>
          </w:p>
          <w:p w14:paraId="2E9DCA4D" w14:textId="77777777" w:rsidR="00FD25F0" w:rsidRPr="001E68F7" w:rsidRDefault="00FD25F0" w:rsidP="002F45B5">
            <w:pPr>
              <w:spacing w:after="0" w:line="240" w:lineRule="auto"/>
              <w:ind w:left="38" w:firstLine="7"/>
              <w:rPr>
                <w:rFonts w:ascii="Times New Roman" w:eastAsia="Calibri" w:hAnsi="Times New Roman" w:cs="Times New Roman"/>
                <w:b/>
              </w:rPr>
            </w:pPr>
            <w:r w:rsidRPr="001E68F7">
              <w:rPr>
                <w:rFonts w:ascii="Times New Roman" w:eastAsia="Calibri" w:hAnsi="Times New Roman" w:cs="Times New Roman"/>
                <w:b/>
              </w:rPr>
              <w:t xml:space="preserve">Osoba odpowiedzialna za projekt w randze Ministra, Sekretarza Stanu lub Podsekretarza Stanu </w:t>
            </w:r>
          </w:p>
          <w:p w14:paraId="7666CA14" w14:textId="72D32218" w:rsidR="00FD25F0" w:rsidRPr="001E68F7" w:rsidRDefault="00AB12C7" w:rsidP="002F45B5">
            <w:pPr>
              <w:spacing w:after="0" w:line="240" w:lineRule="auto"/>
              <w:ind w:left="38" w:firstLine="7"/>
              <w:jc w:val="both"/>
              <w:rPr>
                <w:rFonts w:ascii="Times New Roman" w:eastAsia="Calibri" w:hAnsi="Times New Roman" w:cs="Times New Roman"/>
              </w:rPr>
            </w:pPr>
            <w:r w:rsidRPr="00AB12C7">
              <w:rPr>
                <w:rFonts w:ascii="Times New Roman" w:eastAsia="Calibri" w:hAnsi="Times New Roman" w:cs="Times New Roman"/>
              </w:rPr>
              <w:t>Jerzy Szafranowicz,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B12C7">
              <w:rPr>
                <w:rFonts w:ascii="Times New Roman" w:eastAsia="Calibri" w:hAnsi="Times New Roman" w:cs="Times New Roman"/>
              </w:rPr>
              <w:t>Podsekretarz Stanu w Ministerstwie Zdrowia</w:t>
            </w:r>
          </w:p>
          <w:p w14:paraId="606366DC" w14:textId="77777777" w:rsidR="00FD25F0" w:rsidRPr="001E68F7" w:rsidRDefault="00FD25F0" w:rsidP="002F45B5">
            <w:pPr>
              <w:spacing w:after="0" w:line="240" w:lineRule="auto"/>
              <w:ind w:left="38" w:firstLine="7"/>
              <w:jc w:val="both"/>
              <w:rPr>
                <w:rFonts w:ascii="Times New Roman" w:eastAsia="Calibri" w:hAnsi="Times New Roman" w:cs="Times New Roman"/>
              </w:rPr>
            </w:pPr>
          </w:p>
          <w:p w14:paraId="606E0107" w14:textId="77777777" w:rsidR="00FD25F0" w:rsidRPr="001E68F7" w:rsidRDefault="00FD25F0" w:rsidP="002F45B5">
            <w:pPr>
              <w:spacing w:after="0" w:line="240" w:lineRule="auto"/>
              <w:ind w:left="38" w:firstLine="7"/>
              <w:rPr>
                <w:rFonts w:ascii="Times New Roman" w:eastAsia="Calibri" w:hAnsi="Times New Roman" w:cs="Times New Roman"/>
                <w:b/>
              </w:rPr>
            </w:pPr>
            <w:r w:rsidRPr="001E68F7">
              <w:rPr>
                <w:rFonts w:ascii="Times New Roman" w:eastAsia="Calibri" w:hAnsi="Times New Roman" w:cs="Times New Roman"/>
                <w:b/>
              </w:rPr>
              <w:t>Kontakt do opiekuna merytorycznego projektu</w:t>
            </w:r>
          </w:p>
          <w:p w14:paraId="772A5417" w14:textId="2B002CB0" w:rsidR="00FD25F0" w:rsidRPr="001E68F7" w:rsidRDefault="00FD25F0" w:rsidP="002F45B5">
            <w:pPr>
              <w:spacing w:after="0" w:line="240" w:lineRule="auto"/>
              <w:ind w:left="38" w:firstLine="7"/>
              <w:jc w:val="both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 xml:space="preserve">Dominika Janiszewska-Kajka, Zastępca Dyrektora Departamentu </w:t>
            </w:r>
            <w:r w:rsidR="00BB48AA" w:rsidRPr="001E68F7">
              <w:rPr>
                <w:rFonts w:ascii="Times New Roman" w:eastAsia="Calibri" w:hAnsi="Times New Roman" w:cs="Times New Roman"/>
              </w:rPr>
              <w:t>Lecznictwa</w:t>
            </w:r>
            <w:r w:rsidRPr="001E68F7">
              <w:rPr>
                <w:rFonts w:ascii="Times New Roman" w:eastAsia="Calibri" w:hAnsi="Times New Roman" w:cs="Times New Roman"/>
              </w:rPr>
              <w:t xml:space="preserve"> w Ministerstwie Zdrowia, tel. </w:t>
            </w:r>
            <w:r w:rsidR="00D05127" w:rsidRPr="001E68F7">
              <w:rPr>
                <w:rFonts w:ascii="Times New Roman" w:hAnsi="Times New Roman" w:cs="Times New Roman"/>
                <w:shd w:val="clear" w:color="auto" w:fill="FFFFFF"/>
              </w:rPr>
              <w:t xml:space="preserve">(22) </w:t>
            </w:r>
            <w:r w:rsidR="00B42857">
              <w:rPr>
                <w:rFonts w:ascii="Times New Roman" w:hAnsi="Times New Roman" w:cs="Times New Roman"/>
                <w:shd w:val="clear" w:color="auto" w:fill="FFFFFF"/>
              </w:rPr>
              <w:t>530</w:t>
            </w:r>
            <w:r w:rsidR="00D05127" w:rsidRPr="001E68F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42857">
              <w:rPr>
                <w:rFonts w:ascii="Times New Roman" w:hAnsi="Times New Roman" w:cs="Times New Roman"/>
                <w:shd w:val="clear" w:color="auto" w:fill="FFFFFF"/>
              </w:rPr>
              <w:t>02</w:t>
            </w:r>
            <w:r w:rsidR="00D05127" w:rsidRPr="001E68F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42857">
              <w:rPr>
                <w:rFonts w:ascii="Times New Roman" w:hAnsi="Times New Roman" w:cs="Times New Roman"/>
                <w:shd w:val="clear" w:color="auto" w:fill="FFFFFF"/>
              </w:rPr>
              <w:t>84</w:t>
            </w:r>
            <w:r w:rsidRPr="001E68F7">
              <w:rPr>
                <w:rFonts w:ascii="Times New Roman" w:eastAsia="Calibri" w:hAnsi="Times New Roman" w:cs="Times New Roman"/>
              </w:rPr>
              <w:t xml:space="preserve">, </w:t>
            </w:r>
            <w:r w:rsidR="001D398A">
              <w:rPr>
                <w:rFonts w:ascii="Times New Roman" w:eastAsia="Calibri" w:hAnsi="Times New Roman" w:cs="Times New Roman"/>
              </w:rPr>
              <w:br/>
            </w:r>
            <w:r w:rsidRPr="001E68F7">
              <w:rPr>
                <w:rFonts w:ascii="Times New Roman" w:eastAsia="Calibri" w:hAnsi="Times New Roman" w:cs="Times New Roman"/>
              </w:rPr>
              <w:t xml:space="preserve">e-mail: </w:t>
            </w:r>
            <w:hyperlink r:id="rId6" w:history="1">
              <w:r w:rsidR="00621DA2" w:rsidRPr="00463343">
                <w:rPr>
                  <w:rStyle w:val="Hipercze"/>
                  <w:rFonts w:ascii="Times New Roman" w:eastAsia="Calibri" w:hAnsi="Times New Roman" w:cs="Times New Roman"/>
                </w:rPr>
                <w:t>d.janiszewska@mz.gov.pl</w:t>
              </w:r>
            </w:hyperlink>
            <w:r w:rsidR="00621DA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480" w:type="dxa"/>
            <w:gridSpan w:val="11"/>
            <w:shd w:val="clear" w:color="auto" w:fill="FFFFFF"/>
          </w:tcPr>
          <w:p w14:paraId="2DE8DB6F" w14:textId="77777777" w:rsidR="00FD25F0" w:rsidRPr="001E68F7" w:rsidRDefault="00FD25F0" w:rsidP="002F45B5">
            <w:pPr>
              <w:spacing w:after="0" w:line="240" w:lineRule="auto"/>
              <w:ind w:left="43" w:firstLine="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68F7">
              <w:rPr>
                <w:rFonts w:ascii="Times New Roman" w:eastAsia="Calibri" w:hAnsi="Times New Roman" w:cs="Times New Roman"/>
                <w:b/>
              </w:rPr>
              <w:t xml:space="preserve">Data sporządzenia: </w:t>
            </w:r>
          </w:p>
          <w:p w14:paraId="59370C83" w14:textId="12C4E0F6" w:rsidR="00FD25F0" w:rsidRPr="001E68F7" w:rsidRDefault="00E57ECC" w:rsidP="002F45B5">
            <w:pPr>
              <w:spacing w:after="0" w:line="240" w:lineRule="auto"/>
              <w:ind w:left="43" w:firstLine="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D1DA8">
              <w:rPr>
                <w:rFonts w:ascii="Times New Roman" w:eastAsia="Calibri" w:hAnsi="Times New Roman" w:cs="Times New Roman"/>
              </w:rPr>
              <w:t>8</w:t>
            </w:r>
            <w:r w:rsidR="0042239D">
              <w:rPr>
                <w:rFonts w:ascii="Times New Roman" w:eastAsia="Calibri" w:hAnsi="Times New Roman" w:cs="Times New Roman"/>
              </w:rPr>
              <w:t>.</w:t>
            </w:r>
            <w:r w:rsidR="00250078">
              <w:rPr>
                <w:rFonts w:ascii="Times New Roman" w:eastAsia="Calibri" w:hAnsi="Times New Roman" w:cs="Times New Roman"/>
              </w:rPr>
              <w:t>11</w:t>
            </w:r>
            <w:r w:rsidR="00365EAD" w:rsidRPr="001E68F7">
              <w:rPr>
                <w:rFonts w:ascii="Times New Roman" w:eastAsia="Calibri" w:hAnsi="Times New Roman" w:cs="Times New Roman"/>
              </w:rPr>
              <w:t>.</w:t>
            </w:r>
            <w:r w:rsidR="00FD25F0" w:rsidRPr="001E68F7">
              <w:rPr>
                <w:rFonts w:ascii="Times New Roman" w:eastAsia="Calibri" w:hAnsi="Times New Roman" w:cs="Times New Roman"/>
              </w:rPr>
              <w:t>202</w:t>
            </w:r>
            <w:r w:rsidR="000C7063">
              <w:rPr>
                <w:rFonts w:ascii="Times New Roman" w:eastAsia="Calibri" w:hAnsi="Times New Roman" w:cs="Times New Roman"/>
              </w:rPr>
              <w:t>4</w:t>
            </w:r>
            <w:r w:rsidR="00FD25F0" w:rsidRPr="001E68F7">
              <w:rPr>
                <w:rFonts w:ascii="Times New Roman" w:eastAsia="Calibri" w:hAnsi="Times New Roman" w:cs="Times New Roman"/>
              </w:rPr>
              <w:t xml:space="preserve"> r.</w:t>
            </w:r>
            <w:r w:rsidR="00FD25F0" w:rsidRPr="001E68F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2FE7D99A" w14:textId="77777777" w:rsidR="00FD25F0" w:rsidRPr="001E68F7" w:rsidRDefault="00FD25F0" w:rsidP="002F45B5">
            <w:pPr>
              <w:spacing w:after="0" w:line="240" w:lineRule="auto"/>
              <w:ind w:left="43" w:firstLine="2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C93C4E1" w14:textId="77777777" w:rsidR="00FD25F0" w:rsidRPr="001E68F7" w:rsidRDefault="00FD25F0" w:rsidP="002F45B5">
            <w:pPr>
              <w:spacing w:after="0" w:line="240" w:lineRule="auto"/>
              <w:ind w:left="43" w:firstLine="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68F7">
              <w:rPr>
                <w:rFonts w:ascii="Times New Roman" w:eastAsia="Calibri" w:hAnsi="Times New Roman" w:cs="Times New Roman"/>
                <w:b/>
              </w:rPr>
              <w:t xml:space="preserve">Źródło: </w:t>
            </w:r>
          </w:p>
          <w:p w14:paraId="7BF4E711" w14:textId="14CC02D1" w:rsidR="00FD25F0" w:rsidRPr="001E68F7" w:rsidRDefault="00FD25F0" w:rsidP="002F45B5">
            <w:pPr>
              <w:spacing w:after="0" w:line="240" w:lineRule="auto"/>
              <w:ind w:left="43" w:firstLine="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E68F7">
              <w:rPr>
                <w:rFonts w:ascii="Times New Roman" w:eastAsia="Times New Roman" w:hAnsi="Times New Roman" w:cs="Times New Roman"/>
              </w:rPr>
              <w:t>Art. 31d ustawy z dnia 27 sierpnia 2004 r.</w:t>
            </w:r>
            <w:r w:rsidR="002528F5" w:rsidRPr="001E68F7">
              <w:rPr>
                <w:rFonts w:ascii="Times New Roman" w:eastAsia="Times New Roman" w:hAnsi="Times New Roman" w:cs="Times New Roman"/>
              </w:rPr>
              <w:t xml:space="preserve"> </w:t>
            </w:r>
            <w:r w:rsidRPr="001E68F7">
              <w:rPr>
                <w:rFonts w:ascii="Times New Roman" w:eastAsia="Times New Roman" w:hAnsi="Times New Roman" w:cs="Times New Roman"/>
              </w:rPr>
              <w:t xml:space="preserve">o świadczeniach opieki zdrowotnej finansowanych ze środków publicznych </w:t>
            </w:r>
            <w:r w:rsidRPr="001E68F7">
              <w:rPr>
                <w:rFonts w:ascii="Times New Roman" w:eastAsia="Times New Roman" w:hAnsi="Times New Roman" w:cs="Times New Roman"/>
              </w:rPr>
              <w:br/>
              <w:t>(</w:t>
            </w:r>
            <w:r w:rsidR="0032665E" w:rsidRPr="0032665E">
              <w:rPr>
                <w:rFonts w:ascii="Times New Roman" w:eastAsia="Times New Roman" w:hAnsi="Times New Roman" w:cs="Times New Roman"/>
              </w:rPr>
              <w:t>Dz.</w:t>
            </w:r>
            <w:r w:rsidR="0032665E">
              <w:rPr>
                <w:rFonts w:ascii="Times New Roman" w:eastAsia="Times New Roman" w:hAnsi="Times New Roman" w:cs="Times New Roman"/>
              </w:rPr>
              <w:t xml:space="preserve"> </w:t>
            </w:r>
            <w:r w:rsidR="0032665E" w:rsidRPr="0032665E">
              <w:rPr>
                <w:rFonts w:ascii="Times New Roman" w:eastAsia="Times New Roman" w:hAnsi="Times New Roman" w:cs="Times New Roman"/>
              </w:rPr>
              <w:t>U. z 202</w:t>
            </w:r>
            <w:r w:rsidR="00250078">
              <w:rPr>
                <w:rFonts w:ascii="Times New Roman" w:eastAsia="Times New Roman" w:hAnsi="Times New Roman" w:cs="Times New Roman"/>
              </w:rPr>
              <w:t>4</w:t>
            </w:r>
            <w:r w:rsidR="0032665E" w:rsidRPr="0032665E">
              <w:rPr>
                <w:rFonts w:ascii="Times New Roman" w:eastAsia="Times New Roman" w:hAnsi="Times New Roman" w:cs="Times New Roman"/>
              </w:rPr>
              <w:t xml:space="preserve"> r. poz. </w:t>
            </w:r>
            <w:r w:rsidR="00250078">
              <w:rPr>
                <w:rFonts w:ascii="Times New Roman" w:eastAsia="Times New Roman" w:hAnsi="Times New Roman" w:cs="Times New Roman"/>
              </w:rPr>
              <w:t>146</w:t>
            </w:r>
            <w:r w:rsidRPr="001E68F7">
              <w:rPr>
                <w:rFonts w:ascii="Times New Roman" w:eastAsia="Times New Roman" w:hAnsi="Times New Roman" w:cs="Times New Roman"/>
              </w:rPr>
              <w:t>, z późn. zm.)</w:t>
            </w:r>
          </w:p>
          <w:p w14:paraId="7D5176C6" w14:textId="77777777" w:rsidR="00FD25F0" w:rsidRPr="001E68F7" w:rsidRDefault="00FD25F0" w:rsidP="002F45B5">
            <w:pPr>
              <w:spacing w:after="0" w:line="240" w:lineRule="auto"/>
              <w:ind w:left="43" w:firstLine="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83291E3" w14:textId="77777777" w:rsidR="0032665E" w:rsidRDefault="00FD25F0" w:rsidP="0032665E">
            <w:pPr>
              <w:spacing w:after="0" w:line="240" w:lineRule="auto"/>
              <w:ind w:left="43" w:firstLine="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E68F7">
              <w:rPr>
                <w:rFonts w:ascii="Times New Roman" w:eastAsia="Calibri" w:hAnsi="Times New Roman" w:cs="Times New Roman"/>
                <w:b/>
              </w:rPr>
              <w:t xml:space="preserve">Nr w </w:t>
            </w:r>
            <w:r w:rsidR="00204850">
              <w:rPr>
                <w:rFonts w:ascii="Times New Roman" w:eastAsia="Calibri" w:hAnsi="Times New Roman" w:cs="Times New Roman"/>
                <w:b/>
              </w:rPr>
              <w:t>W</w:t>
            </w:r>
            <w:r w:rsidRPr="001E68F7">
              <w:rPr>
                <w:rFonts w:ascii="Times New Roman" w:eastAsia="Calibri" w:hAnsi="Times New Roman" w:cs="Times New Roman"/>
                <w:b/>
              </w:rPr>
              <w:t xml:space="preserve">ykazie prac </w:t>
            </w:r>
            <w:r w:rsidR="001D398A">
              <w:rPr>
                <w:rFonts w:ascii="Times New Roman" w:eastAsia="Calibri" w:hAnsi="Times New Roman" w:cs="Times New Roman"/>
                <w:b/>
              </w:rPr>
              <w:t xml:space="preserve">legislacyjnych </w:t>
            </w:r>
            <w:r w:rsidRPr="001E68F7">
              <w:rPr>
                <w:rFonts w:ascii="Times New Roman" w:eastAsia="Calibri" w:hAnsi="Times New Roman" w:cs="Times New Roman"/>
                <w:b/>
              </w:rPr>
              <w:t xml:space="preserve">Ministra Zdrowia: </w:t>
            </w:r>
          </w:p>
          <w:p w14:paraId="18A121C3" w14:textId="77777777" w:rsidR="00314CAD" w:rsidRDefault="00314CAD" w:rsidP="0032665E">
            <w:pPr>
              <w:spacing w:after="0" w:line="240" w:lineRule="auto"/>
              <w:ind w:left="43" w:firstLine="2"/>
              <w:contextualSpacing/>
              <w:rPr>
                <w:rFonts w:ascii="Times New Roman" w:eastAsia="Calibri" w:hAnsi="Times New Roman" w:cs="Times New Roman"/>
              </w:rPr>
            </w:pPr>
          </w:p>
          <w:p w14:paraId="2DEC9634" w14:textId="011DD4BA" w:rsidR="00FD25F0" w:rsidRPr="00390270" w:rsidRDefault="0032665E" w:rsidP="0032665E">
            <w:pPr>
              <w:spacing w:after="0" w:line="240" w:lineRule="auto"/>
              <w:ind w:left="43" w:firstLine="2"/>
              <w:contextualSpacing/>
              <w:rPr>
                <w:rFonts w:ascii="Times New Roman" w:eastAsia="Calibri" w:hAnsi="Times New Roman" w:cs="Times New Roman"/>
              </w:rPr>
            </w:pPr>
            <w:r w:rsidRPr="00390270">
              <w:rPr>
                <w:rFonts w:ascii="Times New Roman" w:eastAsia="Calibri" w:hAnsi="Times New Roman" w:cs="Times New Roman"/>
              </w:rPr>
              <w:t xml:space="preserve">MZ </w:t>
            </w:r>
            <w:r w:rsidR="008029F0" w:rsidRPr="00390270">
              <w:rPr>
                <w:rFonts w:ascii="Times New Roman" w:eastAsia="Calibri" w:hAnsi="Times New Roman" w:cs="Times New Roman"/>
              </w:rPr>
              <w:t>1</w:t>
            </w:r>
            <w:r w:rsidR="00250078" w:rsidRPr="00390270">
              <w:rPr>
                <w:rFonts w:ascii="Times New Roman" w:eastAsia="Calibri" w:hAnsi="Times New Roman" w:cs="Times New Roman"/>
              </w:rPr>
              <w:t>731</w:t>
            </w:r>
          </w:p>
          <w:p w14:paraId="641C75DA" w14:textId="6A6132F3" w:rsidR="00796656" w:rsidRPr="001E68F7" w:rsidRDefault="00796656" w:rsidP="002F45B5">
            <w:pPr>
              <w:spacing w:after="0" w:line="240" w:lineRule="auto"/>
              <w:ind w:left="43" w:firstLine="2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E68F7" w:rsidRPr="001E68F7" w14:paraId="411BC620" w14:textId="77777777" w:rsidTr="00D16DD1">
        <w:trPr>
          <w:trHeight w:val="142"/>
        </w:trPr>
        <w:tc>
          <w:tcPr>
            <w:tcW w:w="11086" w:type="dxa"/>
            <w:gridSpan w:val="25"/>
            <w:shd w:val="clear" w:color="auto" w:fill="99CCFF"/>
          </w:tcPr>
          <w:p w14:paraId="280ACB08" w14:textId="082681E6" w:rsidR="00FD25F0" w:rsidRPr="001E68F7" w:rsidRDefault="00845C40" w:rsidP="006B23E6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1E68F7" w:rsidRPr="001E68F7" w14:paraId="69F38309" w14:textId="77777777" w:rsidTr="00D16DD1">
        <w:trPr>
          <w:trHeight w:val="333"/>
        </w:trPr>
        <w:tc>
          <w:tcPr>
            <w:tcW w:w="11086" w:type="dxa"/>
            <w:gridSpan w:val="25"/>
            <w:shd w:val="clear" w:color="auto" w:fill="99CCFF"/>
            <w:vAlign w:val="center"/>
          </w:tcPr>
          <w:p w14:paraId="618C99C2" w14:textId="77777777" w:rsidR="00FD25F0" w:rsidRPr="001E68F7" w:rsidRDefault="00FD25F0" w:rsidP="006B23E6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E68F7">
              <w:rPr>
                <w:rFonts w:ascii="Times New Roman" w:eastAsia="Calibri" w:hAnsi="Times New Roman" w:cs="Times New Roman"/>
                <w:b/>
              </w:rPr>
              <w:t>Jaki problem jest rozwiązywany?</w:t>
            </w:r>
            <w:bookmarkStart w:id="1" w:name="Wybór1"/>
            <w:bookmarkEnd w:id="1"/>
          </w:p>
        </w:tc>
      </w:tr>
      <w:tr w:rsidR="001E68F7" w:rsidRPr="001E68F7" w14:paraId="1C3BD251" w14:textId="77777777" w:rsidTr="00875D69">
        <w:trPr>
          <w:trHeight w:val="822"/>
        </w:trPr>
        <w:tc>
          <w:tcPr>
            <w:tcW w:w="11086" w:type="dxa"/>
            <w:gridSpan w:val="25"/>
            <w:shd w:val="clear" w:color="auto" w:fill="FFFFFF"/>
          </w:tcPr>
          <w:p w14:paraId="7EDA03B7" w14:textId="7CBCD6A4" w:rsidR="007F54AB" w:rsidRDefault="005A25EF" w:rsidP="007F54AB">
            <w:pPr>
              <w:pStyle w:val="ARTartustawynprozporzdzenia"/>
              <w:spacing w:before="0" w:after="120" w:line="240" w:lineRule="auto"/>
              <w:ind w:firstLine="0"/>
              <w:rPr>
                <w:sz w:val="22"/>
                <w:szCs w:val="18"/>
              </w:rPr>
            </w:pPr>
            <w:r w:rsidRPr="00203574">
              <w:rPr>
                <w:sz w:val="22"/>
                <w:szCs w:val="18"/>
              </w:rPr>
              <w:t xml:space="preserve">Celem projektowanego rozporządzenia zmieniającego rozporządzenie Ministra Zdrowia </w:t>
            </w:r>
            <w:r w:rsidR="007F54AB" w:rsidRPr="007F54AB">
              <w:rPr>
                <w:sz w:val="22"/>
                <w:szCs w:val="18"/>
              </w:rPr>
              <w:t xml:space="preserve">z dnia 22 listopada 2013 r. </w:t>
            </w:r>
            <w:r w:rsidRPr="00203574">
              <w:rPr>
                <w:sz w:val="22"/>
                <w:szCs w:val="18"/>
              </w:rPr>
              <w:t xml:space="preserve">w sprawie świadczeń gwarantowanych z zakresu </w:t>
            </w:r>
            <w:r w:rsidR="007F54AB">
              <w:rPr>
                <w:sz w:val="22"/>
                <w:szCs w:val="18"/>
              </w:rPr>
              <w:t xml:space="preserve">leczenia szpitalnego </w:t>
            </w:r>
            <w:r w:rsidRPr="00203574">
              <w:rPr>
                <w:sz w:val="22"/>
                <w:szCs w:val="18"/>
              </w:rPr>
              <w:t>(Dz. U. z 20</w:t>
            </w:r>
            <w:r w:rsidR="007F54AB">
              <w:rPr>
                <w:sz w:val="22"/>
                <w:szCs w:val="18"/>
              </w:rPr>
              <w:t>23</w:t>
            </w:r>
            <w:r w:rsidRPr="00203574">
              <w:rPr>
                <w:sz w:val="22"/>
                <w:szCs w:val="18"/>
              </w:rPr>
              <w:t xml:space="preserve"> r. poz. </w:t>
            </w:r>
            <w:r w:rsidR="007F54AB">
              <w:rPr>
                <w:sz w:val="22"/>
                <w:szCs w:val="18"/>
              </w:rPr>
              <w:t>870</w:t>
            </w:r>
            <w:r w:rsidR="004D685B">
              <w:rPr>
                <w:sz w:val="22"/>
                <w:szCs w:val="18"/>
              </w:rPr>
              <w:t>,</w:t>
            </w:r>
            <w:r w:rsidRPr="00203574">
              <w:rPr>
                <w:sz w:val="22"/>
                <w:szCs w:val="18"/>
              </w:rPr>
              <w:t xml:space="preserve"> z późn. zm.) jest </w:t>
            </w:r>
            <w:r w:rsidR="007F54AB" w:rsidRPr="007F54AB">
              <w:rPr>
                <w:sz w:val="22"/>
                <w:szCs w:val="18"/>
              </w:rPr>
              <w:t xml:space="preserve">wprowadzenie do wykazu świadczeń gwarantowanych </w:t>
            </w:r>
            <w:r w:rsidR="007F54AB">
              <w:rPr>
                <w:sz w:val="22"/>
                <w:szCs w:val="18"/>
              </w:rPr>
              <w:t xml:space="preserve">z zakresu leczenia szpitalnego </w:t>
            </w:r>
            <w:r w:rsidR="007F54AB" w:rsidRPr="007F54AB">
              <w:rPr>
                <w:sz w:val="22"/>
                <w:szCs w:val="18"/>
              </w:rPr>
              <w:t>świadczenia obejmującego leczenie ostrej lub przewlekłej choroby przeszczep przeciwko gospodarzowi (GvHD</w:t>
            </w:r>
            <w:r w:rsidR="00601062">
              <w:rPr>
                <w:sz w:val="22"/>
                <w:szCs w:val="18"/>
              </w:rPr>
              <w:t xml:space="preserve"> </w:t>
            </w:r>
            <w:r w:rsidR="00601062">
              <w:t xml:space="preserve">– </w:t>
            </w:r>
            <w:r w:rsidR="00601062" w:rsidRPr="00601062">
              <w:rPr>
                <w:sz w:val="22"/>
                <w:szCs w:val="18"/>
              </w:rPr>
              <w:t>Graft versus Host Disease</w:t>
            </w:r>
            <w:r w:rsidR="007F54AB" w:rsidRPr="007F54AB">
              <w:rPr>
                <w:sz w:val="22"/>
                <w:szCs w:val="18"/>
              </w:rPr>
              <w:t>) opornej na kortykosteroidy, z wykorzystaniem fotoferezy pozaustrojowej (ECP).</w:t>
            </w:r>
          </w:p>
          <w:p w14:paraId="52943ED8" w14:textId="4D76258E" w:rsidR="00CF11CC" w:rsidRPr="0014042E" w:rsidRDefault="00CF11CC" w:rsidP="00F579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Obecnie, w</w:t>
            </w:r>
            <w:r w:rsidRPr="00AD0312">
              <w:rPr>
                <w:rFonts w:ascii="Times New Roman" w:hAnsi="Times New Roman"/>
                <w:color w:val="000000"/>
              </w:rPr>
              <w:t xml:space="preserve"> analizowanej populacji, fotofereza nie jest finansowana ze środków płatnika publicznego N</w:t>
            </w:r>
            <w:r>
              <w:rPr>
                <w:rFonts w:ascii="Times New Roman" w:hAnsi="Times New Roman"/>
                <w:color w:val="000000"/>
              </w:rPr>
              <w:t xml:space="preserve">arodowego </w:t>
            </w:r>
            <w:r w:rsidRPr="00AD0312">
              <w:rPr>
                <w:rFonts w:ascii="Times New Roman" w:hAnsi="Times New Roman"/>
                <w:color w:val="000000"/>
              </w:rPr>
              <w:t>F</w:t>
            </w:r>
            <w:r>
              <w:rPr>
                <w:rFonts w:ascii="Times New Roman" w:hAnsi="Times New Roman"/>
                <w:color w:val="000000"/>
              </w:rPr>
              <w:t xml:space="preserve">unduszu </w:t>
            </w:r>
            <w:r w:rsidRPr="00AD0312">
              <w:rPr>
                <w:rFonts w:ascii="Times New Roman" w:hAnsi="Times New Roman"/>
                <w:color w:val="000000"/>
              </w:rPr>
              <w:t>Z</w:t>
            </w:r>
            <w:r>
              <w:rPr>
                <w:rFonts w:ascii="Times New Roman" w:hAnsi="Times New Roman"/>
                <w:color w:val="000000"/>
              </w:rPr>
              <w:t>drowia (NFZ)</w:t>
            </w:r>
            <w:r w:rsidRPr="00AD0312">
              <w:rPr>
                <w:rFonts w:ascii="Times New Roman" w:hAnsi="Times New Roman"/>
                <w:color w:val="000000"/>
              </w:rPr>
              <w:t>.</w:t>
            </w:r>
            <w:r w:rsidR="0014042E">
              <w:rPr>
                <w:rFonts w:ascii="Times New Roman" w:hAnsi="Times New Roman"/>
                <w:color w:val="000000"/>
              </w:rPr>
              <w:t xml:space="preserve"> </w:t>
            </w:r>
            <w:r w:rsidRPr="007765CE">
              <w:rPr>
                <w:rFonts w:ascii="Times New Roman" w:hAnsi="Times New Roman"/>
                <w:color w:val="000000"/>
              </w:rPr>
              <w:t>Aktualnie fotofereza pozaustrojowa jest finansowana w ramach Narodowego Programu Transplantacyjnego na lata 2023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765CE">
              <w:rPr>
                <w:rFonts w:ascii="Times New Roman" w:hAnsi="Times New Roman"/>
                <w:color w:val="000000"/>
              </w:rPr>
              <w:t>2032 r. (będącego kolejną edycją programu wieloletniego na lata 2011–2022 pod nazwą „Narodowy Program Rozwoju Medycyny Transplantacyjnej”)</w:t>
            </w:r>
            <w:r w:rsidR="00BE3520">
              <w:rPr>
                <w:rFonts w:ascii="Times New Roman" w:hAnsi="Times New Roman"/>
                <w:color w:val="000000"/>
              </w:rPr>
              <w:t xml:space="preserve"> </w:t>
            </w:r>
            <w:r w:rsidR="0014042E">
              <w:rPr>
                <w:rFonts w:ascii="Times New Roman" w:hAnsi="Times New Roman"/>
                <w:color w:val="000000"/>
              </w:rPr>
              <w:t xml:space="preserve">ze </w:t>
            </w:r>
            <w:r w:rsidRPr="007765CE">
              <w:rPr>
                <w:rFonts w:ascii="Times New Roman" w:hAnsi="Times New Roman"/>
                <w:color w:val="000000"/>
              </w:rPr>
              <w:t>środków</w:t>
            </w:r>
            <w:r w:rsidR="0014042E">
              <w:rPr>
                <w:rFonts w:ascii="Times New Roman" w:hAnsi="Times New Roman"/>
                <w:color w:val="000000"/>
              </w:rPr>
              <w:t xml:space="preserve"> budżetu państwa </w:t>
            </w:r>
            <w:r w:rsidR="00F579B8">
              <w:rPr>
                <w:rFonts w:ascii="Times New Roman" w:hAnsi="Times New Roman"/>
                <w:color w:val="000000"/>
              </w:rPr>
              <w:t xml:space="preserve">z </w:t>
            </w:r>
            <w:r w:rsidR="002957FD">
              <w:rPr>
                <w:rFonts w:ascii="Times New Roman" w:hAnsi="Times New Roman"/>
                <w:color w:val="000000"/>
              </w:rPr>
              <w:t>częś</w:t>
            </w:r>
            <w:r w:rsidR="00F579B8">
              <w:rPr>
                <w:rFonts w:ascii="Times New Roman" w:hAnsi="Times New Roman"/>
                <w:color w:val="000000"/>
              </w:rPr>
              <w:t>ci</w:t>
            </w:r>
            <w:r w:rsidR="002957FD">
              <w:rPr>
                <w:rFonts w:ascii="Times New Roman" w:hAnsi="Times New Roman"/>
                <w:color w:val="000000"/>
              </w:rPr>
              <w:t xml:space="preserve"> 46 – Zdrowie, któr</w:t>
            </w:r>
            <w:r w:rsidR="006432D9">
              <w:rPr>
                <w:rFonts w:ascii="Times New Roman" w:hAnsi="Times New Roman"/>
                <w:color w:val="000000"/>
              </w:rPr>
              <w:t>ej</w:t>
            </w:r>
            <w:r w:rsidR="003A161A">
              <w:rPr>
                <w:rFonts w:ascii="Times New Roman" w:hAnsi="Times New Roman"/>
                <w:color w:val="000000"/>
              </w:rPr>
              <w:t xml:space="preserve"> dysponentem jest</w:t>
            </w:r>
            <w:r w:rsidRPr="007765CE">
              <w:rPr>
                <w:rFonts w:ascii="Times New Roman" w:hAnsi="Times New Roman"/>
                <w:color w:val="000000"/>
              </w:rPr>
              <w:t xml:space="preserve"> Minis</w:t>
            </w:r>
            <w:r w:rsidR="002957FD">
              <w:rPr>
                <w:rFonts w:ascii="Times New Roman" w:hAnsi="Times New Roman"/>
                <w:color w:val="000000"/>
              </w:rPr>
              <w:t>tra</w:t>
            </w:r>
            <w:r w:rsidRPr="007765CE">
              <w:rPr>
                <w:rFonts w:ascii="Times New Roman" w:hAnsi="Times New Roman"/>
                <w:color w:val="000000"/>
              </w:rPr>
              <w:t xml:space="preserve"> Zdrowia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6A25CD">
              <w:rPr>
                <w:rFonts w:ascii="Times New Roman" w:hAnsi="Times New Roman"/>
                <w:color w:val="000000"/>
              </w:rPr>
              <w:t xml:space="preserve"> Konieczne jest wprowadzenie wyżej wskazanego świadczenia do wykazu świadczeń gwarantowanych z zakresu leczenia szpitalnego</w:t>
            </w:r>
            <w:r w:rsidR="00EF333D">
              <w:rPr>
                <w:rFonts w:ascii="Times New Roman" w:hAnsi="Times New Roman"/>
                <w:color w:val="000000"/>
              </w:rPr>
              <w:t xml:space="preserve"> oraz zmiana jego finansowania ze środków budżetu państwa na środki NFZ</w:t>
            </w:r>
            <w:r w:rsidR="0031136D">
              <w:rPr>
                <w:rFonts w:ascii="Times New Roman" w:hAnsi="Times New Roman"/>
                <w:color w:val="000000"/>
              </w:rPr>
              <w:t>,</w:t>
            </w:r>
            <w:r w:rsidR="006A25CD">
              <w:rPr>
                <w:rFonts w:ascii="Times New Roman" w:hAnsi="Times New Roman"/>
                <w:color w:val="000000"/>
              </w:rPr>
              <w:t xml:space="preserve"> tak by pacjenci mieli zapewniony </w:t>
            </w:r>
            <w:r w:rsidR="00EF333D">
              <w:rPr>
                <w:rFonts w:ascii="Times New Roman" w:hAnsi="Times New Roman"/>
                <w:color w:val="000000"/>
              </w:rPr>
              <w:t>stały</w:t>
            </w:r>
            <w:r w:rsidR="00C4351A">
              <w:rPr>
                <w:rFonts w:ascii="Times New Roman" w:hAnsi="Times New Roman"/>
                <w:color w:val="000000"/>
              </w:rPr>
              <w:t xml:space="preserve"> </w:t>
            </w:r>
            <w:r w:rsidR="006A25CD">
              <w:rPr>
                <w:rFonts w:ascii="Times New Roman" w:hAnsi="Times New Roman"/>
                <w:color w:val="000000"/>
              </w:rPr>
              <w:t xml:space="preserve">dostęp do świadczenia niezależnie od </w:t>
            </w:r>
            <w:r w:rsidR="00EF333D">
              <w:rPr>
                <w:rFonts w:ascii="Times New Roman" w:hAnsi="Times New Roman"/>
                <w:color w:val="000000"/>
              </w:rPr>
              <w:t xml:space="preserve">obowiązywania </w:t>
            </w:r>
            <w:r w:rsidR="006A25CD" w:rsidRPr="006A25CD">
              <w:rPr>
                <w:rFonts w:ascii="Times New Roman" w:hAnsi="Times New Roman"/>
                <w:color w:val="000000"/>
              </w:rPr>
              <w:t>Narodowego Programu Transplantacyjnego</w:t>
            </w:r>
            <w:r w:rsidR="006A25C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E68F7" w:rsidRPr="001E68F7" w14:paraId="279EBCB6" w14:textId="77777777" w:rsidTr="00D16DD1">
        <w:trPr>
          <w:trHeight w:val="142"/>
        </w:trPr>
        <w:tc>
          <w:tcPr>
            <w:tcW w:w="11086" w:type="dxa"/>
            <w:gridSpan w:val="25"/>
            <w:shd w:val="clear" w:color="auto" w:fill="99CCFF"/>
            <w:vAlign w:val="center"/>
          </w:tcPr>
          <w:p w14:paraId="3E002BD7" w14:textId="15852E79" w:rsidR="00FD25F0" w:rsidRPr="001E68F7" w:rsidRDefault="00FD25F0" w:rsidP="006B23E6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E68F7">
              <w:rPr>
                <w:rFonts w:ascii="Times New Roman" w:eastAsia="Calibri" w:hAnsi="Times New Roman" w:cs="Times New Roman"/>
                <w:b/>
                <w:spacing w:val="-2"/>
              </w:rPr>
              <w:t>Rekomendowane rozwiązanie, w tym planowane narzędzia interwencji i oczekiwany efekt</w:t>
            </w:r>
          </w:p>
        </w:tc>
      </w:tr>
      <w:tr w:rsidR="001E68F7" w:rsidRPr="001E68F7" w14:paraId="37C31463" w14:textId="77777777" w:rsidTr="00D16DD1">
        <w:trPr>
          <w:trHeight w:val="529"/>
        </w:trPr>
        <w:tc>
          <w:tcPr>
            <w:tcW w:w="11086" w:type="dxa"/>
            <w:gridSpan w:val="25"/>
            <w:shd w:val="clear" w:color="auto" w:fill="auto"/>
          </w:tcPr>
          <w:p w14:paraId="2ECFD62D" w14:textId="77777777" w:rsidR="00630F1A" w:rsidRPr="00054655" w:rsidRDefault="00630F1A" w:rsidP="00630F1A">
            <w:pPr>
              <w:pStyle w:val="ARTartustawynprozporzdzenia"/>
              <w:spacing w:before="0" w:after="120" w:line="240" w:lineRule="auto"/>
              <w:ind w:firstLine="0"/>
              <w:rPr>
                <w:sz w:val="22"/>
                <w:szCs w:val="18"/>
              </w:rPr>
            </w:pPr>
            <w:r w:rsidRPr="00054655">
              <w:rPr>
                <w:sz w:val="22"/>
                <w:szCs w:val="18"/>
              </w:rPr>
              <w:t>Choroba przeszczep przeciwko gospodarzowi (GvHD) jest reakcją o podłożu immunologicznym i najczęstszym powikłaniem allogenicznego przeszczepu krwiotwórczych komórek macierzystych. Wyróżnia się dwa rodzaje GvHD: postać ostrą i przewlekłą oraz ich podkategorie. Przewlekła GvHD jest najczęstszym długoterminowym powikłaniem po allogenicznym przeszczepie komórek krwiotwórczych i może mieć negatywny wpływ na prawie każdy narząd powodując łagodne lub ciężkie objawy. Dane epidemiologiczne wykazują, że ostra postać GvHD może wystąpić nawet u 50% pacjentów. Częstość występowania przewlekłej GvHD waha się od 6–80%.</w:t>
            </w:r>
          </w:p>
          <w:p w14:paraId="7658427A" w14:textId="77777777" w:rsidR="00630F1A" w:rsidRDefault="00630F1A" w:rsidP="00630F1A">
            <w:pPr>
              <w:pStyle w:val="ARTartustawynprozporzdzenia"/>
              <w:spacing w:before="0" w:after="120" w:line="240" w:lineRule="auto"/>
              <w:ind w:firstLine="0"/>
              <w:rPr>
                <w:sz w:val="22"/>
                <w:szCs w:val="18"/>
              </w:rPr>
            </w:pPr>
            <w:r w:rsidRPr="00054655">
              <w:rPr>
                <w:sz w:val="22"/>
                <w:szCs w:val="18"/>
              </w:rPr>
              <w:t>Leczenie GvHD zależy od nasilenia objawów i zajętych chorobą narządów. Większość opcji koncentruje się na immunosupresji limfocytów T dawcy i musi być zrównoważona, aby zmniejszyć objawy GvHD, jednocześnie unikając niwelacji korzystnej odpowiedzi na przeszczep. Kortykosteroidy pozostają terapią pierwszego rzutu zarówno w ostrej, jak i przewlekłej GVHD. W ciągu 4 tygodni na leczenie kortykosteroidami odpowiada ok. 50–65% pacjentów z objawami ostrej GvHD. Brak poprawy (przynajmniej o 1 stopień) w tym czasie wiąże się ze złym rokowaniem, a śmiertelność po 6 miesiącach wynosi 45–65%. Ze względu na ich znaczną toksyczność i rosnącą liczbę pacjentów, u których rozwija się choroba oporna na steroidy, wykorzystywane są inne terapie ratunkowe. Fotofereza pozaustrojowa jest powszechnie zalecaną metodą leczenia drugiego rzutu (szczególnie w sterydoopornej postaci GVHD).</w:t>
            </w:r>
          </w:p>
          <w:p w14:paraId="30DB4A4E" w14:textId="77777777" w:rsidR="0006214E" w:rsidRDefault="00630F1A" w:rsidP="000621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30F1A">
              <w:rPr>
                <w:rFonts w:ascii="Times New Roman" w:hAnsi="Times New Roman"/>
                <w:color w:val="000000"/>
                <w:spacing w:val="-2"/>
              </w:rPr>
              <w:t>W rozporządzeniu Ministra Zdrowia z dnia 22 listopada 2013 r. w sprawie świadczeń gwarantowanych z zakresu leczenia szpitalnego (Dz. U. z 2023 r. poz. 870, z późn. zm.) w:</w:t>
            </w:r>
          </w:p>
          <w:p w14:paraId="5CAAF1A6" w14:textId="680EFFEF" w:rsidR="00CF11CC" w:rsidRDefault="0006214E" w:rsidP="0006214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6214E">
              <w:rPr>
                <w:rFonts w:ascii="Times New Roman" w:hAnsi="Times New Roman"/>
                <w:color w:val="000000"/>
                <w:spacing w:val="-2"/>
              </w:rPr>
              <w:t>1)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630F1A" w:rsidRPr="0006214E">
              <w:rPr>
                <w:rFonts w:ascii="Times New Roman" w:hAnsi="Times New Roman"/>
                <w:color w:val="000000"/>
                <w:spacing w:val="-2"/>
              </w:rPr>
              <w:t>załączniku nr 1 do rozporządzenia „Wykaz świadczeń gwarantowanych” w części I „Świadczenia scharakteryzowane procedurami medycznymi” po wierszu „Leczenie chirurgiczne raka jelita grubego z zastosowaniem systemu robotowego” dodaje się wiersz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630F1A" w:rsidRPr="0006214E">
              <w:rPr>
                <w:rFonts w:ascii="Times New Roman" w:hAnsi="Times New Roman"/>
                <w:color w:val="000000"/>
                <w:spacing w:val="-2"/>
              </w:rPr>
              <w:t>w brzm</w:t>
            </w:r>
            <w:r>
              <w:rPr>
                <w:rFonts w:ascii="Times New Roman" w:hAnsi="Times New Roman"/>
                <w:color w:val="000000"/>
                <w:spacing w:val="-2"/>
              </w:rPr>
              <w:t>ieniu</w:t>
            </w:r>
            <w:r>
              <w:t xml:space="preserve"> „</w:t>
            </w:r>
            <w:r w:rsidRPr="0006214E">
              <w:rPr>
                <w:rFonts w:ascii="Times New Roman" w:hAnsi="Times New Roman"/>
                <w:color w:val="000000"/>
                <w:spacing w:val="-2"/>
              </w:rPr>
              <w:t>Leczenie ostrej lub przewlekłej choroby przeszczep przeciwko gospodarzowi (GvHD) opornej na kortykosteroidy z wykorzystaniem fotoferezy pozaustrojowej (ECP)</w:t>
            </w:r>
            <w:r>
              <w:rPr>
                <w:rFonts w:ascii="Times New Roman" w:hAnsi="Times New Roman"/>
                <w:color w:val="000000"/>
                <w:spacing w:val="-2"/>
              </w:rPr>
              <w:t>” oraz</w:t>
            </w:r>
          </w:p>
          <w:p w14:paraId="07E00240" w14:textId="49BA8EF4" w:rsidR="00010E7D" w:rsidRPr="00EF333D" w:rsidRDefault="0006214E" w:rsidP="00EF33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6214E">
              <w:rPr>
                <w:rFonts w:ascii="Times New Roman" w:hAnsi="Times New Roman"/>
                <w:color w:val="000000"/>
                <w:spacing w:val="-2"/>
              </w:rPr>
              <w:t>2) załączniku nr 4 do rozporządzenia „Wykaz świadczeń gwarantowanych z zakresu leczenia szpitalnego, które są udzielane po spełnieniu dodatkowych warunków ich realizacji, oraz dodatkowe warunki realizacji tych świadczeń” po lp. 67 dodaje się lp. 68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, w którym określa się </w:t>
            </w:r>
            <w:r w:rsidR="006A25CD">
              <w:rPr>
                <w:rFonts w:ascii="Times New Roman" w:hAnsi="Times New Roman"/>
                <w:color w:val="000000"/>
                <w:spacing w:val="-2"/>
              </w:rPr>
              <w:t>szczegółowe warunki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realizacji świadczenia „</w:t>
            </w:r>
            <w:r w:rsidRPr="0006214E">
              <w:rPr>
                <w:rFonts w:ascii="Times New Roman" w:hAnsi="Times New Roman"/>
                <w:color w:val="000000"/>
                <w:spacing w:val="-2"/>
              </w:rPr>
              <w:t>Leczenie ostrej lub przewlekłej choroby przeszczep przeciwko gospodarzowi (GvHD) opornej na kortykosteroidy z wykorzystaniem fotoferezy pozaustrojowej (ECP)”.</w:t>
            </w:r>
          </w:p>
        </w:tc>
      </w:tr>
      <w:tr w:rsidR="001E68F7" w:rsidRPr="001E68F7" w14:paraId="48B30810" w14:textId="77777777" w:rsidTr="00D16DD1">
        <w:trPr>
          <w:trHeight w:val="307"/>
        </w:trPr>
        <w:tc>
          <w:tcPr>
            <w:tcW w:w="11086" w:type="dxa"/>
            <w:gridSpan w:val="25"/>
            <w:shd w:val="clear" w:color="auto" w:fill="99CCFF"/>
            <w:vAlign w:val="center"/>
          </w:tcPr>
          <w:p w14:paraId="51F1EA36" w14:textId="2F5BAA45" w:rsidR="00FD25F0" w:rsidRPr="001E68F7" w:rsidRDefault="00FD25F0" w:rsidP="006B23E6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E68F7">
              <w:rPr>
                <w:rFonts w:ascii="Times New Roman" w:eastAsia="Calibri" w:hAnsi="Times New Roman" w:cs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1E68F7">
              <w:rPr>
                <w:rFonts w:ascii="Times New Roman" w:eastAsia="Calibri" w:hAnsi="Times New Roman" w:cs="Times New Roman"/>
                <w:b/>
              </w:rPr>
              <w:t>?</w:t>
            </w:r>
            <w:r w:rsidRPr="001E68F7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</w:tr>
      <w:tr w:rsidR="00C054B5" w:rsidRPr="001E68F7" w14:paraId="40488CA5" w14:textId="77777777" w:rsidTr="00D16DD1">
        <w:trPr>
          <w:trHeight w:val="142"/>
        </w:trPr>
        <w:tc>
          <w:tcPr>
            <w:tcW w:w="11086" w:type="dxa"/>
            <w:gridSpan w:val="25"/>
            <w:shd w:val="clear" w:color="auto" w:fill="auto"/>
          </w:tcPr>
          <w:p w14:paraId="7BC07624" w14:textId="77777777" w:rsidR="00C054B5" w:rsidRPr="00EF333D" w:rsidRDefault="00C054B5" w:rsidP="00EF333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F333D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Anglia – u pacjentów z ostrą chorobą przeszczep przeciwko gospodarzowi (aGvHD) </w:t>
            </w:r>
            <w:r w:rsidRPr="00EF333D">
              <w:rPr>
                <w:rFonts w:ascii="Times New Roman" w:hAnsi="Times New Roman"/>
                <w:i/>
                <w:iCs/>
                <w:color w:val="000000"/>
                <w:spacing w:val="-2"/>
              </w:rPr>
              <w:t>NHS England</w:t>
            </w:r>
            <w:r w:rsidRPr="00EF333D">
              <w:rPr>
                <w:rFonts w:ascii="Times New Roman" w:hAnsi="Times New Roman"/>
                <w:color w:val="000000"/>
                <w:spacing w:val="-2"/>
              </w:rPr>
              <w:t xml:space="preserve"> rutynowo zaleca stosowanie ECP spełniających określone kryteria (ciągłe lub nawrotowe objawy kliniczne aGvHD oraz niepełna odpowiedź na leczenie pierwszego rzutu lub sterydozależność); u pacjentów z przewlekłą chorobą przeszczep przeciwko gospodarzowi (aGvHD) </w:t>
            </w:r>
            <w:r w:rsidRPr="00EF333D">
              <w:rPr>
                <w:rFonts w:ascii="Times New Roman" w:hAnsi="Times New Roman"/>
                <w:i/>
                <w:iCs/>
                <w:color w:val="000000"/>
                <w:spacing w:val="-2"/>
              </w:rPr>
              <w:t>NHS England</w:t>
            </w:r>
            <w:r w:rsidRPr="00EF333D">
              <w:rPr>
                <w:rFonts w:ascii="Times New Roman" w:hAnsi="Times New Roman"/>
                <w:color w:val="000000"/>
                <w:spacing w:val="-2"/>
              </w:rPr>
              <w:t xml:space="preserve"> rutynowo zaleca stosowanie</w:t>
            </w:r>
            <w:r w:rsidRPr="00EF333D">
              <w:rPr>
                <w:rFonts w:ascii="Times New Roman" w:hAnsi="Times New Roman"/>
              </w:rPr>
              <w:t xml:space="preserve"> </w:t>
            </w:r>
            <w:r w:rsidRPr="00EF333D">
              <w:rPr>
                <w:rFonts w:ascii="Times New Roman" w:hAnsi="Times New Roman"/>
                <w:color w:val="000000"/>
                <w:spacing w:val="-2"/>
              </w:rPr>
              <w:t xml:space="preserve">ECP, pentostatynę, rytuksymab i imatynib spełniających określone kryteria (ciągłe lub nawrotowe objawy kliniczne cGvHD oraz niepełna odpowiedź na leczenie pierwszego rzutu </w:t>
            </w:r>
            <w:r w:rsidRPr="00EF333D">
              <w:rPr>
                <w:rFonts w:ascii="Times New Roman" w:hAnsi="Times New Roman"/>
                <w:color w:val="000000"/>
                <w:spacing w:val="-2"/>
              </w:rPr>
              <w:br/>
              <w:t xml:space="preserve">lub sterydozależność). Ustalenia dotyczące finansowania szczegółowo opisano w specyfikacji świadczenia. </w:t>
            </w:r>
            <w:r w:rsidRPr="00EF333D">
              <w:rPr>
                <w:rFonts w:ascii="Times New Roman" w:hAnsi="Times New Roman"/>
                <w:color w:val="000000"/>
                <w:spacing w:val="-2"/>
              </w:rPr>
              <w:br/>
              <w:t xml:space="preserve">Obecnie odpowiedzialność za finansowanie spoczywa na </w:t>
            </w:r>
            <w:r w:rsidRPr="00EF333D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NHS England </w:t>
            </w:r>
            <w:r w:rsidRPr="00EF333D">
              <w:rPr>
                <w:rFonts w:ascii="Times New Roman" w:hAnsi="Times New Roman"/>
                <w:color w:val="000000"/>
                <w:spacing w:val="-2"/>
              </w:rPr>
              <w:t xml:space="preserve">przez pierwsze 100 dni po przeszczepie. </w:t>
            </w:r>
            <w:r w:rsidRPr="00EF333D">
              <w:rPr>
                <w:rFonts w:ascii="Times New Roman" w:hAnsi="Times New Roman"/>
                <w:color w:val="000000"/>
                <w:spacing w:val="-2"/>
              </w:rPr>
              <w:br/>
              <w:t xml:space="preserve">Następnie odpowiedzialność przenosi się do </w:t>
            </w:r>
            <w:r w:rsidRPr="00EF333D">
              <w:rPr>
                <w:rFonts w:ascii="Times New Roman" w:hAnsi="Times New Roman"/>
                <w:i/>
                <w:iCs/>
                <w:color w:val="000000"/>
                <w:spacing w:val="-2"/>
              </w:rPr>
              <w:t>Clinical commissioning groups</w:t>
            </w:r>
            <w:r w:rsidRPr="00EF333D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21814408" w14:textId="77777777" w:rsidR="00C054B5" w:rsidRPr="00EF333D" w:rsidRDefault="00C054B5" w:rsidP="00EF333D">
            <w:pPr>
              <w:spacing w:after="120" w:line="240" w:lineRule="auto"/>
              <w:jc w:val="both"/>
              <w:rPr>
                <w:rFonts w:ascii="Times New Roman" w:eastAsia="Arial" w:hAnsi="Times New Roman"/>
                <w:color w:val="000000" w:themeColor="text1"/>
              </w:rPr>
            </w:pPr>
            <w:r w:rsidRPr="00EF333D">
              <w:rPr>
                <w:rFonts w:ascii="Times New Roman" w:eastAsia="Arial" w:hAnsi="Times New Roman"/>
                <w:color w:val="000000" w:themeColor="text1"/>
              </w:rPr>
              <w:t xml:space="preserve">Walia – </w:t>
            </w:r>
            <w:r w:rsidRPr="00EF333D">
              <w:rPr>
                <w:rFonts w:ascii="Times New Roman" w:eastAsia="Arial" w:hAnsi="Times New Roman"/>
                <w:i/>
                <w:iCs/>
                <w:color w:val="000000" w:themeColor="text1"/>
              </w:rPr>
              <w:t>The Welsh Health Specialised Services Committee</w:t>
            </w:r>
            <w:r w:rsidRPr="00EF333D">
              <w:rPr>
                <w:rFonts w:ascii="Times New Roman" w:eastAsia="Arial" w:hAnsi="Times New Roman"/>
                <w:color w:val="000000" w:themeColor="text1"/>
              </w:rPr>
              <w:t xml:space="preserve"> finansuje fotoferezę pozaustrojową (ECP) w leczeniu przewlekłej choroby przeszczep przeciwko gospodarzowi (cGvHD) w populacji dorosłych pacjentów zgodnie z przyjętymi kryteriami leczenia i wskazaniami (zajęcie skóry lub błon śluzowych ustnych, oporność na terapię standardową lub terapię zaawansowaną). Stanowisko nie dotyczy finansowania ECP w przypadku chorych na ostrą postać GvHD (aGvHD). Dopuszczalne jest finansowanie przez WHSSC ECP w grupie chorych z aGvHD po uprzednim uzyskaniu zgody </w:t>
            </w:r>
            <w:r w:rsidRPr="00EF333D">
              <w:rPr>
                <w:rFonts w:ascii="Times New Roman" w:eastAsia="Arial" w:hAnsi="Times New Roman"/>
                <w:color w:val="000000" w:themeColor="text1"/>
              </w:rPr>
              <w:br/>
              <w:t>na finansowanie świadczenia indywidualnym pacjentom.</w:t>
            </w:r>
          </w:p>
          <w:p w14:paraId="771BB19B" w14:textId="77777777" w:rsidR="00C054B5" w:rsidRPr="00EF333D" w:rsidRDefault="00C054B5" w:rsidP="00EF333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F333D">
              <w:rPr>
                <w:rFonts w:ascii="Times New Roman" w:hAnsi="Times New Roman"/>
                <w:color w:val="000000"/>
                <w:spacing w:val="-2"/>
              </w:rPr>
              <w:t>Australia – możliwość wykonania ECP jako wstępne leczenie oraz kontynuacja leczenia u pacjentów z cGVHD (leczenie steroidami jest klinicznie niewskazane ze względu na sterydooporność pacjenta lub pacjent nie toleruje steroidów). Choremu przysługuje ECP raz na cykl leczenia, definiowany jako 12-tygodniowy okres leczenia wstępnego lub kontynuacji leczenia.</w:t>
            </w:r>
          </w:p>
          <w:p w14:paraId="7C798B2E" w14:textId="77777777" w:rsidR="00C054B5" w:rsidRPr="00EF333D" w:rsidRDefault="00C054B5" w:rsidP="00EF333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F333D">
              <w:rPr>
                <w:rFonts w:ascii="Times New Roman" w:hAnsi="Times New Roman"/>
                <w:color w:val="000000"/>
                <w:spacing w:val="-2"/>
              </w:rPr>
              <w:t>Finansowanie kontynuacji leczenia może być poprzedzone finansowaniem leczenia wstępnego lub kontynuacji leczenia pod warunkiem wystąpienia przynajmniej częściowej odpowiedzi narządowej, definiowanej jako: uzyskanie pełnej lub częściowej odpowiedzi w co najmniej jednym narządzie.</w:t>
            </w:r>
          </w:p>
          <w:p w14:paraId="5DDD57EC" w14:textId="77777777" w:rsidR="00C054B5" w:rsidRPr="00EF333D" w:rsidRDefault="00C054B5" w:rsidP="00EF333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F333D">
              <w:rPr>
                <w:rFonts w:ascii="Times New Roman" w:hAnsi="Times New Roman"/>
                <w:color w:val="000000"/>
                <w:spacing w:val="-2"/>
              </w:rPr>
              <w:t xml:space="preserve">Szkocja – ECP dostępna jest w ramach lecznictwa szpitalnego w Glasgow i Edynburgu dla pacjentów z GvHD </w:t>
            </w:r>
            <w:r w:rsidRPr="00EF333D">
              <w:rPr>
                <w:rFonts w:ascii="Times New Roman" w:hAnsi="Times New Roman"/>
                <w:color w:val="000000"/>
                <w:spacing w:val="-2"/>
              </w:rPr>
              <w:br/>
              <w:t>lub chłoniakiem skóry z T-komórkowym.</w:t>
            </w:r>
          </w:p>
          <w:p w14:paraId="0F82EE73" w14:textId="77777777" w:rsidR="00C054B5" w:rsidRPr="00EF333D" w:rsidRDefault="00C054B5" w:rsidP="00EF333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F333D">
              <w:rPr>
                <w:rFonts w:ascii="Times New Roman" w:hAnsi="Times New Roman"/>
                <w:color w:val="000000"/>
                <w:spacing w:val="-2"/>
              </w:rPr>
              <w:t>Holandia – Stosowanie ECP w leczeniu pacjentów z GvHD jest zasadne.</w:t>
            </w:r>
          </w:p>
          <w:p w14:paraId="6B01D4AB" w14:textId="2D0272F7" w:rsidR="00C054B5" w:rsidRPr="001E68F7" w:rsidRDefault="00C054B5" w:rsidP="00EF333D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EF333D">
              <w:rPr>
                <w:rFonts w:ascii="Times New Roman" w:hAnsi="Times New Roman"/>
                <w:color w:val="000000"/>
                <w:spacing w:val="-2"/>
              </w:rPr>
              <w:t>USA – ECP jest uzasadniona w ostrym odrzuceniu przeszczepu serca lub płuc, opornym na standardowa terapię immunosupresyjną, przewlekłej postaci GvHD, opornej na standardowe leczenie immunosupresyjne.</w:t>
            </w:r>
          </w:p>
        </w:tc>
      </w:tr>
      <w:tr w:rsidR="00C054B5" w:rsidRPr="001E68F7" w14:paraId="0A340377" w14:textId="77777777" w:rsidTr="00D16DD1">
        <w:trPr>
          <w:trHeight w:val="359"/>
        </w:trPr>
        <w:tc>
          <w:tcPr>
            <w:tcW w:w="11086" w:type="dxa"/>
            <w:gridSpan w:val="25"/>
            <w:shd w:val="clear" w:color="auto" w:fill="99CCFF"/>
            <w:vAlign w:val="center"/>
          </w:tcPr>
          <w:p w14:paraId="3A487EC4" w14:textId="77777777" w:rsidR="00C054B5" w:rsidRPr="001E68F7" w:rsidRDefault="00C054B5" w:rsidP="00C054B5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E68F7">
              <w:rPr>
                <w:rFonts w:ascii="Times New Roman" w:eastAsia="Calibri" w:hAnsi="Times New Roman" w:cs="Times New Roman"/>
                <w:b/>
              </w:rPr>
              <w:t>Podmioty, na które oddziałuje projekt</w:t>
            </w:r>
          </w:p>
        </w:tc>
      </w:tr>
      <w:tr w:rsidR="00C054B5" w:rsidRPr="001E68F7" w14:paraId="52D691AB" w14:textId="77777777" w:rsidTr="00C054B5">
        <w:trPr>
          <w:trHeight w:val="142"/>
        </w:trPr>
        <w:tc>
          <w:tcPr>
            <w:tcW w:w="2571" w:type="dxa"/>
            <w:gridSpan w:val="3"/>
            <w:shd w:val="clear" w:color="auto" w:fill="auto"/>
          </w:tcPr>
          <w:p w14:paraId="0875B30B" w14:textId="77777777" w:rsidR="00C054B5" w:rsidRPr="002F211B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2F211B">
              <w:rPr>
                <w:rFonts w:ascii="Times New Roman" w:eastAsia="Calibri" w:hAnsi="Times New Roman" w:cs="Times New Roman"/>
                <w:spacing w:val="-2"/>
              </w:rPr>
              <w:t>Grupa</w:t>
            </w:r>
          </w:p>
        </w:tc>
        <w:tc>
          <w:tcPr>
            <w:tcW w:w="3248" w:type="dxa"/>
            <w:gridSpan w:val="9"/>
            <w:shd w:val="clear" w:color="auto" w:fill="auto"/>
          </w:tcPr>
          <w:p w14:paraId="26625310" w14:textId="77777777" w:rsidR="00C054B5" w:rsidRPr="002F211B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2F211B">
              <w:rPr>
                <w:rFonts w:ascii="Times New Roman" w:eastAsia="Calibri" w:hAnsi="Times New Roman" w:cs="Times New Roman"/>
                <w:spacing w:val="-2"/>
              </w:rPr>
              <w:t>Wielkość</w:t>
            </w:r>
          </w:p>
        </w:tc>
        <w:tc>
          <w:tcPr>
            <w:tcW w:w="2162" w:type="dxa"/>
            <w:gridSpan w:val="7"/>
            <w:shd w:val="clear" w:color="auto" w:fill="auto"/>
          </w:tcPr>
          <w:p w14:paraId="25194AC8" w14:textId="77777777" w:rsidR="00C054B5" w:rsidRPr="002F211B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2F211B">
              <w:rPr>
                <w:rFonts w:ascii="Times New Roman" w:eastAsia="Calibri" w:hAnsi="Times New Roman" w:cs="Times New Roman"/>
                <w:spacing w:val="-2"/>
              </w:rPr>
              <w:t>Źródło danych</w:t>
            </w:r>
            <w:r w:rsidRPr="002F211B" w:rsidDel="00260F3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</w:p>
        </w:tc>
        <w:tc>
          <w:tcPr>
            <w:tcW w:w="3105" w:type="dxa"/>
            <w:gridSpan w:val="6"/>
            <w:shd w:val="clear" w:color="auto" w:fill="auto"/>
          </w:tcPr>
          <w:p w14:paraId="56569673" w14:textId="77777777" w:rsidR="00C054B5" w:rsidRPr="002F211B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2F211B">
              <w:rPr>
                <w:rFonts w:ascii="Times New Roman" w:eastAsia="Calibri" w:hAnsi="Times New Roman" w:cs="Times New Roman"/>
                <w:spacing w:val="-2"/>
              </w:rPr>
              <w:t>Oddziaływanie</w:t>
            </w:r>
          </w:p>
        </w:tc>
      </w:tr>
      <w:tr w:rsidR="00C054B5" w:rsidRPr="001E68F7" w14:paraId="3B6BDAB6" w14:textId="77777777" w:rsidTr="00C054B5">
        <w:trPr>
          <w:trHeight w:val="833"/>
        </w:trPr>
        <w:tc>
          <w:tcPr>
            <w:tcW w:w="2571" w:type="dxa"/>
            <w:gridSpan w:val="3"/>
            <w:shd w:val="clear" w:color="auto" w:fill="auto"/>
            <w:vAlign w:val="center"/>
          </w:tcPr>
          <w:p w14:paraId="0C9F2970" w14:textId="63693382" w:rsidR="00C054B5" w:rsidRPr="002F211B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ś</w:t>
            </w:r>
            <w:r w:rsidRPr="002F211B">
              <w:rPr>
                <w:rFonts w:ascii="Times New Roman" w:eastAsia="Calibri" w:hAnsi="Times New Roman" w:cs="Times New Roman"/>
                <w:spacing w:val="-2"/>
              </w:rPr>
              <w:t xml:space="preserve">wiadczeniobiorcy </w:t>
            </w:r>
          </w:p>
        </w:tc>
        <w:tc>
          <w:tcPr>
            <w:tcW w:w="3248" w:type="dxa"/>
            <w:gridSpan w:val="9"/>
            <w:shd w:val="clear" w:color="auto" w:fill="auto"/>
            <w:vAlign w:val="center"/>
          </w:tcPr>
          <w:p w14:paraId="510558C5" w14:textId="6C97B58D" w:rsidR="00C054B5" w:rsidRPr="002F211B" w:rsidRDefault="00C054B5" w:rsidP="00C0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ok. 150</w:t>
            </w:r>
          </w:p>
        </w:tc>
        <w:tc>
          <w:tcPr>
            <w:tcW w:w="2162" w:type="dxa"/>
            <w:gridSpan w:val="7"/>
            <w:shd w:val="clear" w:color="auto" w:fill="auto"/>
            <w:vAlign w:val="center"/>
          </w:tcPr>
          <w:p w14:paraId="552B686A" w14:textId="2329D49D" w:rsidR="00C054B5" w:rsidRPr="00777BAB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 xml:space="preserve">  </w:t>
            </w:r>
            <w:r w:rsidR="00E9112E" w:rsidRPr="00E9112E">
              <w:rPr>
                <w:rFonts w:ascii="Times New Roman" w:eastAsia="Calibri" w:hAnsi="Times New Roman" w:cs="Times New Roman"/>
                <w:spacing w:val="-2"/>
              </w:rPr>
              <w:t>Ministerstwo Zdrowia, Agencja Oceny Technologii Medycznych i Taryfikacji</w:t>
            </w:r>
          </w:p>
        </w:tc>
        <w:tc>
          <w:tcPr>
            <w:tcW w:w="3105" w:type="dxa"/>
            <w:gridSpan w:val="6"/>
            <w:shd w:val="clear" w:color="auto" w:fill="auto"/>
            <w:vAlign w:val="center"/>
          </w:tcPr>
          <w:p w14:paraId="7D518518" w14:textId="5A1ED1BE" w:rsidR="00C054B5" w:rsidRPr="002F211B" w:rsidRDefault="00E9112E" w:rsidP="00C054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Calibri" w:hAnsi="Times New Roman" w:cs="Times New Roman"/>
              </w:rPr>
              <w:t xml:space="preserve">zapewnienie </w:t>
            </w:r>
            <w:r w:rsidR="00C054B5" w:rsidRPr="00AA12A9">
              <w:rPr>
                <w:rFonts w:ascii="Times New Roman" w:eastAsia="Calibri" w:hAnsi="Times New Roman" w:cs="Times New Roman"/>
              </w:rPr>
              <w:t>dostęp</w:t>
            </w:r>
            <w:r>
              <w:rPr>
                <w:rFonts w:ascii="Times New Roman" w:eastAsia="Calibri" w:hAnsi="Times New Roman" w:cs="Times New Roman"/>
              </w:rPr>
              <w:t xml:space="preserve">u do </w:t>
            </w:r>
            <w:r w:rsidR="00BC1FF7" w:rsidRPr="00BC1FF7">
              <w:rPr>
                <w:rFonts w:ascii="Times New Roman" w:eastAsia="Calibri" w:hAnsi="Times New Roman" w:cs="Times New Roman"/>
              </w:rPr>
              <w:t>skuteczn</w:t>
            </w:r>
            <w:r w:rsidR="00BC1FF7">
              <w:rPr>
                <w:rFonts w:ascii="Times New Roman" w:eastAsia="Calibri" w:hAnsi="Times New Roman" w:cs="Times New Roman"/>
              </w:rPr>
              <w:t>ej</w:t>
            </w:r>
            <w:r w:rsidR="00BC1FF7" w:rsidRPr="00BC1FF7">
              <w:rPr>
                <w:rFonts w:ascii="Times New Roman" w:eastAsia="Calibri" w:hAnsi="Times New Roman" w:cs="Times New Roman"/>
              </w:rPr>
              <w:t xml:space="preserve"> kliniczn</w:t>
            </w:r>
            <w:r w:rsidR="00BC1FF7">
              <w:rPr>
                <w:rFonts w:ascii="Times New Roman" w:eastAsia="Calibri" w:hAnsi="Times New Roman" w:cs="Times New Roman"/>
              </w:rPr>
              <w:t>ie</w:t>
            </w:r>
            <w:r w:rsidR="00BC1FF7" w:rsidRPr="00BC1FF7">
              <w:rPr>
                <w:rFonts w:ascii="Times New Roman" w:eastAsia="Calibri" w:hAnsi="Times New Roman" w:cs="Times New Roman"/>
              </w:rPr>
              <w:t xml:space="preserve"> i bezpiecz</w:t>
            </w:r>
            <w:r w:rsidR="00BC1FF7">
              <w:rPr>
                <w:rFonts w:ascii="Times New Roman" w:eastAsia="Calibri" w:hAnsi="Times New Roman" w:cs="Times New Roman"/>
              </w:rPr>
              <w:t>nej</w:t>
            </w:r>
            <w:r w:rsidR="00BC1FF7" w:rsidRPr="00BC1FF7">
              <w:rPr>
                <w:rFonts w:ascii="Times New Roman" w:eastAsia="Calibri" w:hAnsi="Times New Roman" w:cs="Times New Roman"/>
              </w:rPr>
              <w:t xml:space="preserve"> </w:t>
            </w:r>
            <w:r w:rsidR="0097518A">
              <w:rPr>
                <w:rFonts w:ascii="Times New Roman" w:eastAsia="Calibri" w:hAnsi="Times New Roman" w:cs="Times New Roman"/>
              </w:rPr>
              <w:t>terapii</w:t>
            </w:r>
          </w:p>
        </w:tc>
      </w:tr>
      <w:tr w:rsidR="00C054B5" w:rsidRPr="001E68F7" w14:paraId="3F313EA5" w14:textId="77777777" w:rsidTr="00C054B5">
        <w:trPr>
          <w:trHeight w:val="246"/>
        </w:trPr>
        <w:tc>
          <w:tcPr>
            <w:tcW w:w="2571" w:type="dxa"/>
            <w:gridSpan w:val="3"/>
            <w:shd w:val="clear" w:color="auto" w:fill="auto"/>
            <w:vAlign w:val="center"/>
          </w:tcPr>
          <w:p w14:paraId="608F363E" w14:textId="0855E239" w:rsidR="00C054B5" w:rsidRPr="002F211B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ś</w:t>
            </w:r>
            <w:r w:rsidRPr="002F211B">
              <w:rPr>
                <w:rFonts w:ascii="Times New Roman" w:eastAsia="Calibri" w:hAnsi="Times New Roman" w:cs="Times New Roman"/>
                <w:spacing w:val="-2"/>
              </w:rPr>
              <w:t xml:space="preserve">wiadczeniodawcy </w:t>
            </w:r>
          </w:p>
        </w:tc>
        <w:tc>
          <w:tcPr>
            <w:tcW w:w="3248" w:type="dxa"/>
            <w:gridSpan w:val="9"/>
            <w:shd w:val="clear" w:color="auto" w:fill="auto"/>
            <w:vAlign w:val="center"/>
          </w:tcPr>
          <w:p w14:paraId="7120DFBB" w14:textId="1FEB3707" w:rsidR="00C054B5" w:rsidRPr="002F211B" w:rsidRDefault="00C054B5" w:rsidP="00C0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ok. 13</w:t>
            </w:r>
          </w:p>
        </w:tc>
        <w:tc>
          <w:tcPr>
            <w:tcW w:w="2162" w:type="dxa"/>
            <w:gridSpan w:val="7"/>
            <w:shd w:val="clear" w:color="auto" w:fill="auto"/>
            <w:vAlign w:val="center"/>
          </w:tcPr>
          <w:p w14:paraId="153408C4" w14:textId="63078DA1" w:rsidR="00C054B5" w:rsidRPr="002F211B" w:rsidRDefault="00E9112E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E9112E">
              <w:rPr>
                <w:rFonts w:ascii="Times New Roman" w:eastAsia="Calibri" w:hAnsi="Times New Roman" w:cs="Times New Roman"/>
                <w:spacing w:val="-2"/>
              </w:rPr>
              <w:t>Ministerstwo Zdrowia, Agencja Oceny Technologii Medycznych i Taryfikacji</w:t>
            </w:r>
          </w:p>
        </w:tc>
        <w:tc>
          <w:tcPr>
            <w:tcW w:w="3105" w:type="dxa"/>
            <w:gridSpan w:val="6"/>
            <w:shd w:val="clear" w:color="auto" w:fill="auto"/>
            <w:vAlign w:val="center"/>
          </w:tcPr>
          <w:p w14:paraId="0840F630" w14:textId="4C91FA38" w:rsidR="00C054B5" w:rsidRPr="002F211B" w:rsidRDefault="00C054B5" w:rsidP="00C054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6A6A6" w:themeColor="background1" w:themeShade="A6"/>
                <w:spacing w:val="-2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784FAB">
              <w:rPr>
                <w:rFonts w:ascii="Times New Roman" w:eastAsia="Times New Roman" w:hAnsi="Times New Roman" w:cs="Times New Roman"/>
                <w:lang w:eastAsia="pl-PL"/>
              </w:rPr>
              <w:t xml:space="preserve">ptymalizacja procesów </w:t>
            </w:r>
            <w:r w:rsidR="00E9112E">
              <w:rPr>
                <w:rFonts w:ascii="Times New Roman" w:eastAsia="Times New Roman" w:hAnsi="Times New Roman" w:cs="Times New Roman"/>
                <w:lang w:eastAsia="pl-PL"/>
              </w:rPr>
              <w:t>terapeutycznych</w:t>
            </w:r>
          </w:p>
        </w:tc>
      </w:tr>
      <w:tr w:rsidR="00C054B5" w:rsidRPr="001E68F7" w14:paraId="215DC67C" w14:textId="77777777" w:rsidTr="00C054B5">
        <w:trPr>
          <w:trHeight w:val="1561"/>
        </w:trPr>
        <w:tc>
          <w:tcPr>
            <w:tcW w:w="2571" w:type="dxa"/>
            <w:gridSpan w:val="3"/>
            <w:shd w:val="clear" w:color="auto" w:fill="auto"/>
            <w:vAlign w:val="center"/>
          </w:tcPr>
          <w:p w14:paraId="33B24EA9" w14:textId="27F6A083" w:rsidR="00C054B5" w:rsidRPr="002F211B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2F211B">
              <w:rPr>
                <w:rFonts w:ascii="Times New Roman" w:eastAsia="Calibri" w:hAnsi="Times New Roman" w:cs="Times New Roman"/>
                <w:spacing w:val="-2"/>
              </w:rPr>
              <w:t>NFZ</w:t>
            </w:r>
          </w:p>
        </w:tc>
        <w:tc>
          <w:tcPr>
            <w:tcW w:w="3248" w:type="dxa"/>
            <w:gridSpan w:val="9"/>
            <w:shd w:val="clear" w:color="auto" w:fill="auto"/>
            <w:vAlign w:val="center"/>
          </w:tcPr>
          <w:p w14:paraId="5A807B5D" w14:textId="3B7899DB" w:rsidR="00C054B5" w:rsidRPr="002F211B" w:rsidRDefault="00C054B5" w:rsidP="00C0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pl-PL"/>
              </w:rPr>
            </w:pPr>
            <w:r w:rsidRPr="002F211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62" w:type="dxa"/>
            <w:gridSpan w:val="7"/>
            <w:shd w:val="clear" w:color="auto" w:fill="auto"/>
            <w:vAlign w:val="center"/>
          </w:tcPr>
          <w:p w14:paraId="0E09940D" w14:textId="32DD3415" w:rsidR="00C054B5" w:rsidRPr="002F211B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u</w:t>
            </w:r>
            <w:r w:rsidRPr="002F211B">
              <w:rPr>
                <w:rFonts w:ascii="Times New Roman" w:eastAsia="Calibri" w:hAnsi="Times New Roman" w:cs="Times New Roman"/>
                <w:spacing w:val="-2"/>
              </w:rPr>
              <w:t xml:space="preserve">stawa </w:t>
            </w:r>
            <w:r>
              <w:rPr>
                <w:rFonts w:ascii="Times New Roman" w:eastAsia="Calibri" w:hAnsi="Times New Roman" w:cs="Times New Roman"/>
                <w:spacing w:val="-2"/>
              </w:rPr>
              <w:t>z dnia 27 sierpnia 2004 r. o </w:t>
            </w:r>
            <w:r w:rsidRPr="002F211B">
              <w:rPr>
                <w:rFonts w:ascii="Times New Roman" w:eastAsia="Calibri" w:hAnsi="Times New Roman" w:cs="Times New Roman"/>
                <w:spacing w:val="-2"/>
              </w:rPr>
              <w:t>świadczeniach opieki zdrowotnej finansowanych ze środków publicznych</w:t>
            </w:r>
          </w:p>
        </w:tc>
        <w:tc>
          <w:tcPr>
            <w:tcW w:w="3105" w:type="dxa"/>
            <w:gridSpan w:val="6"/>
            <w:shd w:val="clear" w:color="auto" w:fill="auto"/>
            <w:vAlign w:val="center"/>
          </w:tcPr>
          <w:p w14:paraId="3DD2BD05" w14:textId="0CED1BB6" w:rsidR="0016082E" w:rsidRPr="0016082E" w:rsidRDefault="0016082E" w:rsidP="00FC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082E">
              <w:rPr>
                <w:rFonts w:ascii="Times New Roman" w:eastAsia="Times New Roman" w:hAnsi="Times New Roman" w:cs="Times New Roman"/>
                <w:lang w:eastAsia="pl-PL"/>
              </w:rPr>
              <w:t xml:space="preserve">1) </w:t>
            </w:r>
            <w:r w:rsidR="00C054B5" w:rsidRPr="0016082E">
              <w:rPr>
                <w:rFonts w:ascii="Times New Roman" w:eastAsia="Times New Roman" w:hAnsi="Times New Roman" w:cs="Times New Roman"/>
                <w:lang w:eastAsia="pl-PL"/>
              </w:rPr>
              <w:t>alokacja zasobów finansowych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58AA3FBB" w14:textId="412A00B8" w:rsidR="0016082E" w:rsidRPr="0016082E" w:rsidRDefault="0016082E" w:rsidP="00FC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16082E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dostosowanie </w:t>
            </w:r>
            <w:r w:rsidRPr="0016082E">
              <w:rPr>
                <w:rFonts w:ascii="Times New Roman" w:eastAsia="Times New Roman" w:hAnsi="Times New Roman" w:cs="Times New Roman"/>
                <w:lang w:eastAsia="pl-PL"/>
              </w:rPr>
              <w:t>zarządzeń Prezesa NFZ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20817477" w14:textId="7ABF688F" w:rsidR="0016082E" w:rsidRPr="0016082E" w:rsidRDefault="0016082E" w:rsidP="00FC1E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16082E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dostosowanie </w:t>
            </w:r>
            <w:r w:rsidRPr="0016082E">
              <w:rPr>
                <w:rFonts w:ascii="Times New Roman" w:eastAsia="Times New Roman" w:hAnsi="Times New Roman" w:cs="Times New Roman"/>
                <w:lang w:eastAsia="pl-PL"/>
              </w:rPr>
              <w:t>systemów sprawozdawczo</w:t>
            </w:r>
            <w:r w:rsidR="00FC1E1E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16082E">
              <w:rPr>
                <w:rFonts w:ascii="Times New Roman" w:eastAsia="Times New Roman" w:hAnsi="Times New Roman" w:cs="Times New Roman"/>
                <w:lang w:eastAsia="pl-PL"/>
              </w:rPr>
              <w:t>rozliczeniowych</w:t>
            </w:r>
          </w:p>
        </w:tc>
      </w:tr>
      <w:tr w:rsidR="00C054B5" w:rsidRPr="001E68F7" w14:paraId="438C1260" w14:textId="77777777" w:rsidTr="00D16DD1">
        <w:trPr>
          <w:trHeight w:val="302"/>
        </w:trPr>
        <w:tc>
          <w:tcPr>
            <w:tcW w:w="11086" w:type="dxa"/>
            <w:gridSpan w:val="25"/>
            <w:shd w:val="clear" w:color="auto" w:fill="99CCFF"/>
            <w:vAlign w:val="center"/>
          </w:tcPr>
          <w:p w14:paraId="259440F1" w14:textId="77777777" w:rsidR="00C054B5" w:rsidRPr="001E68F7" w:rsidRDefault="00C054B5" w:rsidP="00C054B5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E68F7">
              <w:rPr>
                <w:rFonts w:ascii="Times New Roman" w:eastAsia="Calibri" w:hAnsi="Times New Roman" w:cs="Times New Roman"/>
                <w:b/>
              </w:rPr>
              <w:t>Informacje na temat zakresu, czasu trwania i podsumowanie wyników konsultacji</w:t>
            </w:r>
          </w:p>
        </w:tc>
      </w:tr>
      <w:tr w:rsidR="00C054B5" w:rsidRPr="001E68F7" w14:paraId="56CEE4E7" w14:textId="77777777" w:rsidTr="00D16DD1">
        <w:trPr>
          <w:trHeight w:val="562"/>
        </w:trPr>
        <w:tc>
          <w:tcPr>
            <w:tcW w:w="11086" w:type="dxa"/>
            <w:gridSpan w:val="25"/>
            <w:shd w:val="clear" w:color="auto" w:fill="FFFFFF"/>
          </w:tcPr>
          <w:p w14:paraId="02911A43" w14:textId="77777777" w:rsidR="00C054B5" w:rsidRPr="001E68F7" w:rsidRDefault="00C054B5" w:rsidP="00EF333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E68F7">
              <w:rPr>
                <w:rFonts w:ascii="Times New Roman" w:hAnsi="Times New Roman"/>
                <w:spacing w:val="-2"/>
              </w:rPr>
              <w:t xml:space="preserve">Projekt rozporządzenia nie był przedmiotem pre-konsultacji. </w:t>
            </w:r>
          </w:p>
          <w:p w14:paraId="072FC167" w14:textId="3C0DA5FF" w:rsidR="00C054B5" w:rsidRDefault="00C054B5" w:rsidP="00EF333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E68F7">
              <w:rPr>
                <w:rFonts w:ascii="Times New Roman" w:hAnsi="Times New Roman"/>
                <w:spacing w:val="-2"/>
              </w:rPr>
              <w:t xml:space="preserve">Konsultacje publiczne </w:t>
            </w:r>
            <w:r>
              <w:rPr>
                <w:rFonts w:ascii="Times New Roman" w:hAnsi="Times New Roman"/>
                <w:spacing w:val="-2"/>
              </w:rPr>
              <w:t xml:space="preserve">i opiniowanie </w:t>
            </w:r>
            <w:r w:rsidRPr="001E68F7">
              <w:rPr>
                <w:rFonts w:ascii="Times New Roman" w:hAnsi="Times New Roman"/>
                <w:spacing w:val="-2"/>
              </w:rPr>
              <w:t>zosta</w:t>
            </w:r>
            <w:r>
              <w:rPr>
                <w:rFonts w:ascii="Times New Roman" w:hAnsi="Times New Roman"/>
                <w:spacing w:val="-2"/>
              </w:rPr>
              <w:t>ną</w:t>
            </w:r>
            <w:r w:rsidRPr="001E68F7">
              <w:rPr>
                <w:rFonts w:ascii="Times New Roman" w:hAnsi="Times New Roman"/>
                <w:spacing w:val="-2"/>
              </w:rPr>
              <w:t xml:space="preserve"> przeprowadzone</w:t>
            </w:r>
            <w:r>
              <w:rPr>
                <w:rFonts w:ascii="Times New Roman" w:hAnsi="Times New Roman"/>
                <w:spacing w:val="-2"/>
              </w:rPr>
              <w:t xml:space="preserve"> w wyznaczonym</w:t>
            </w:r>
            <w:r w:rsidRPr="001E68F7">
              <w:rPr>
                <w:rFonts w:ascii="Times New Roman" w:hAnsi="Times New Roman"/>
                <w:spacing w:val="-2"/>
              </w:rPr>
              <w:t xml:space="preserve"> </w:t>
            </w:r>
            <w:r w:rsidR="001B6940">
              <w:rPr>
                <w:rFonts w:ascii="Times New Roman" w:hAnsi="Times New Roman"/>
                <w:spacing w:val="-2"/>
              </w:rPr>
              <w:t>10</w:t>
            </w:r>
            <w:r w:rsidRPr="00777BAB">
              <w:rPr>
                <w:rFonts w:ascii="Times New Roman" w:hAnsi="Times New Roman"/>
                <w:spacing w:val="-2"/>
              </w:rPr>
              <w:t>-dniowym terminie do zgłaszania uwag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  <w:p w14:paraId="59A278DF" w14:textId="1A807E5E" w:rsidR="00C054B5" w:rsidRPr="001E68F7" w:rsidRDefault="00C054B5" w:rsidP="00EF333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B666A">
              <w:rPr>
                <w:rFonts w:ascii="Times New Roman" w:hAnsi="Times New Roman"/>
                <w:spacing w:val="-2"/>
              </w:rPr>
              <w:t>Za skróceniem terminu konsultacji publicznych i opiniowania przemawia dobro społeczne oraz konieczność</w:t>
            </w:r>
            <w:r w:rsidR="007677D4">
              <w:rPr>
                <w:rFonts w:ascii="Times New Roman" w:hAnsi="Times New Roman"/>
                <w:spacing w:val="-2"/>
              </w:rPr>
              <w:t xml:space="preserve"> </w:t>
            </w:r>
            <w:r w:rsidR="00B11E80">
              <w:rPr>
                <w:rFonts w:ascii="Times New Roman" w:hAnsi="Times New Roman"/>
                <w:spacing w:val="-2"/>
              </w:rPr>
              <w:t>zapewnienia nieprzerwanego</w:t>
            </w:r>
            <w:r>
              <w:rPr>
                <w:rFonts w:ascii="Times New Roman" w:hAnsi="Times New Roman"/>
                <w:spacing w:val="-2"/>
              </w:rPr>
              <w:t xml:space="preserve"> dostępu do </w:t>
            </w:r>
            <w:r w:rsidR="007834FB" w:rsidRPr="007834FB">
              <w:rPr>
                <w:rFonts w:ascii="Times New Roman" w:hAnsi="Times New Roman"/>
                <w:spacing w:val="-2"/>
              </w:rPr>
              <w:t>skutecznej klinicznie i bezpiecznej terapii</w:t>
            </w:r>
            <w:r w:rsidRPr="001B666A">
              <w:rPr>
                <w:rFonts w:ascii="Times New Roman" w:hAnsi="Times New Roman"/>
                <w:spacing w:val="-2"/>
              </w:rPr>
              <w:t xml:space="preserve"> </w:t>
            </w:r>
            <w:r w:rsidR="007B7524">
              <w:rPr>
                <w:rFonts w:ascii="Times New Roman" w:hAnsi="Times New Roman"/>
                <w:spacing w:val="-2"/>
              </w:rPr>
              <w:t xml:space="preserve">dla </w:t>
            </w:r>
            <w:r w:rsidRPr="001B666A">
              <w:rPr>
                <w:rFonts w:ascii="Times New Roman" w:hAnsi="Times New Roman"/>
                <w:spacing w:val="-2"/>
              </w:rPr>
              <w:t>świadczeniobiorców</w:t>
            </w:r>
            <w:r w:rsidR="007834FB">
              <w:rPr>
                <w:rFonts w:ascii="Times New Roman" w:hAnsi="Times New Roman"/>
                <w:spacing w:val="-2"/>
              </w:rPr>
              <w:t xml:space="preserve"> (biorców </w:t>
            </w:r>
            <w:r w:rsidR="00A0791E">
              <w:rPr>
                <w:rFonts w:ascii="Times New Roman" w:hAnsi="Times New Roman"/>
                <w:spacing w:val="-2"/>
              </w:rPr>
              <w:t>narządów</w:t>
            </w:r>
            <w:r w:rsidR="007834FB">
              <w:rPr>
                <w:rFonts w:ascii="Times New Roman" w:hAnsi="Times New Roman"/>
                <w:spacing w:val="-2"/>
              </w:rPr>
              <w:t xml:space="preserve">), u których rozwija się </w:t>
            </w:r>
            <w:r w:rsidR="00A0791E">
              <w:rPr>
                <w:rFonts w:ascii="Times New Roman" w:hAnsi="Times New Roman"/>
                <w:spacing w:val="-2"/>
              </w:rPr>
              <w:t>c</w:t>
            </w:r>
            <w:r w:rsidR="007834FB" w:rsidRPr="007834FB">
              <w:rPr>
                <w:rFonts w:ascii="Times New Roman" w:hAnsi="Times New Roman"/>
                <w:spacing w:val="-2"/>
              </w:rPr>
              <w:t xml:space="preserve">horoba przeszczep przeciwko gospodarzowi </w:t>
            </w:r>
            <w:r w:rsidR="00601062">
              <w:rPr>
                <w:rFonts w:ascii="Times New Roman" w:hAnsi="Times New Roman"/>
                <w:spacing w:val="-2"/>
              </w:rPr>
              <w:t>(</w:t>
            </w:r>
            <w:r w:rsidR="007834FB" w:rsidRPr="007834FB">
              <w:rPr>
                <w:rFonts w:ascii="Times New Roman" w:hAnsi="Times New Roman"/>
                <w:spacing w:val="-2"/>
              </w:rPr>
              <w:t>GvHD</w:t>
            </w:r>
            <w:r w:rsidR="00601062">
              <w:rPr>
                <w:rFonts w:ascii="Times New Roman" w:hAnsi="Times New Roman"/>
                <w:spacing w:val="-2"/>
              </w:rPr>
              <w:t>)</w:t>
            </w:r>
            <w:r w:rsidRPr="001B666A">
              <w:rPr>
                <w:rFonts w:ascii="Times New Roman" w:hAnsi="Times New Roman"/>
                <w:spacing w:val="-2"/>
              </w:rPr>
              <w:t>.</w:t>
            </w:r>
          </w:p>
          <w:p w14:paraId="1A1E3A72" w14:textId="18D38296" w:rsidR="00C054B5" w:rsidRPr="00D245C9" w:rsidRDefault="00C054B5" w:rsidP="00EF333D">
            <w:pPr>
              <w:spacing w:after="12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E68F7">
              <w:rPr>
                <w:rFonts w:ascii="Times New Roman" w:hAnsi="Times New Roman"/>
                <w:shd w:val="clear" w:color="auto" w:fill="FFFFFF"/>
              </w:rPr>
              <w:t>W ramach konsultacji publicznych i opiniowania projekt zosta</w:t>
            </w:r>
            <w:r>
              <w:rPr>
                <w:rFonts w:ascii="Times New Roman" w:hAnsi="Times New Roman"/>
                <w:shd w:val="clear" w:color="auto" w:fill="FFFFFF"/>
              </w:rPr>
              <w:t xml:space="preserve">nie </w:t>
            </w:r>
            <w:r w:rsidRPr="001E68F7">
              <w:rPr>
                <w:rFonts w:ascii="Times New Roman" w:hAnsi="Times New Roman"/>
                <w:shd w:val="clear" w:color="auto" w:fill="FFFFFF"/>
              </w:rPr>
              <w:t>przesłany do zaopiniowania przez:</w:t>
            </w:r>
          </w:p>
          <w:p w14:paraId="1E6C7C5B" w14:textId="0F8D889B" w:rsidR="00867B25" w:rsidRPr="00456452" w:rsidRDefault="00CD1DA8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K</w:t>
            </w:r>
            <w:r w:rsidR="00867B25" w:rsidRPr="00456452">
              <w:rPr>
                <w:rFonts w:ascii="Times New Roman" w:hAnsi="Times New Roman"/>
                <w:color w:val="000000"/>
                <w:spacing w:val="-2"/>
              </w:rPr>
              <w:t>onsultanta krajowego w dziedzinie hematologii;</w:t>
            </w:r>
          </w:p>
          <w:p w14:paraId="42EB642F" w14:textId="7A71B4B8" w:rsidR="00867B25" w:rsidRPr="00456452" w:rsidRDefault="00CD1DA8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K</w:t>
            </w:r>
            <w:r w:rsidR="00867B25" w:rsidRPr="00456452">
              <w:rPr>
                <w:rFonts w:ascii="Times New Roman" w:hAnsi="Times New Roman"/>
                <w:color w:val="000000"/>
                <w:spacing w:val="-2"/>
              </w:rPr>
              <w:t>onsultanta krajowego w dziedzinie immunologii klinicznej;</w:t>
            </w:r>
          </w:p>
          <w:p w14:paraId="5B6F3098" w14:textId="5F5B1E05" w:rsidR="00867B25" w:rsidRPr="00456452" w:rsidRDefault="00CD1DA8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K</w:t>
            </w:r>
            <w:r w:rsidR="00867B25" w:rsidRPr="00456452">
              <w:rPr>
                <w:rFonts w:ascii="Times New Roman" w:hAnsi="Times New Roman"/>
                <w:color w:val="000000"/>
                <w:spacing w:val="-2"/>
              </w:rPr>
              <w:t>onsultanta krajowego w dziedzinie onkologii i hematologii dziecięcej;</w:t>
            </w:r>
          </w:p>
          <w:p w14:paraId="53A82909" w14:textId="7AF2D0E3" w:rsidR="00867B25" w:rsidRPr="00456452" w:rsidRDefault="00CD1DA8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K</w:t>
            </w:r>
            <w:r w:rsidR="00867B25" w:rsidRPr="00456452">
              <w:rPr>
                <w:rFonts w:ascii="Times New Roman" w:hAnsi="Times New Roman"/>
                <w:color w:val="000000"/>
                <w:spacing w:val="-2"/>
              </w:rPr>
              <w:t>onsultanta krajowego w dziedzinie onkologii klinicznej;</w:t>
            </w:r>
          </w:p>
          <w:p w14:paraId="753B14BC" w14:textId="722AB450" w:rsidR="00867B25" w:rsidRPr="00456452" w:rsidRDefault="00CD1DA8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K</w:t>
            </w:r>
            <w:r w:rsidR="00867B25" w:rsidRPr="00456452">
              <w:rPr>
                <w:rFonts w:ascii="Times New Roman" w:hAnsi="Times New Roman"/>
                <w:color w:val="000000"/>
                <w:spacing w:val="-2"/>
              </w:rPr>
              <w:t>onsultanta krajowego w dziedzinie pielęgniarstwa onkologicznego;</w:t>
            </w:r>
          </w:p>
          <w:p w14:paraId="769761A9" w14:textId="1E74E76B" w:rsidR="00867B25" w:rsidRPr="00456452" w:rsidRDefault="00CD1DA8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K</w:t>
            </w:r>
            <w:r w:rsidR="00867B25" w:rsidRPr="00456452">
              <w:rPr>
                <w:rFonts w:ascii="Times New Roman" w:hAnsi="Times New Roman"/>
                <w:color w:val="000000"/>
                <w:spacing w:val="-2"/>
              </w:rPr>
              <w:t>onsultanta krajowego w dziedzinie radioterapii onkologicznej;</w:t>
            </w:r>
          </w:p>
          <w:p w14:paraId="288A89DB" w14:textId="77777777" w:rsidR="00867B25" w:rsidRPr="00456452" w:rsidRDefault="00867B25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konsultanta krajowego w dziedzinie transfuzjologii klinicznej;</w:t>
            </w:r>
          </w:p>
          <w:p w14:paraId="65D75AF7" w14:textId="493CD936" w:rsidR="00867B25" w:rsidRPr="00456452" w:rsidRDefault="00CD1DA8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K</w:t>
            </w:r>
            <w:r w:rsidR="00867B25" w:rsidRPr="00456452">
              <w:rPr>
                <w:rFonts w:ascii="Times New Roman" w:hAnsi="Times New Roman"/>
                <w:color w:val="000000"/>
                <w:spacing w:val="-2"/>
              </w:rPr>
              <w:t>onsultanta krajowego w dziedzinie transplantologii klinicznej;</w:t>
            </w:r>
          </w:p>
          <w:p w14:paraId="36B55BFA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Krajową Izbę Diagnostów Laboratoryjnych;</w:t>
            </w:r>
          </w:p>
          <w:p w14:paraId="669660DB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Krajową Izbę Fizjoterapeutów;</w:t>
            </w:r>
          </w:p>
          <w:p w14:paraId="320EA600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 xml:space="preserve">Naczelną Izbę Aptekarską; </w:t>
            </w:r>
          </w:p>
          <w:p w14:paraId="77030BD0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Naczelną Izbę Lekarską;</w:t>
            </w:r>
          </w:p>
          <w:p w14:paraId="4AE92525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Naczelną Izbę Pielęgniarek i Położnych;</w:t>
            </w:r>
          </w:p>
          <w:p w14:paraId="1244CECC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Federację Przedsiębiorców Polskich;</w:t>
            </w:r>
          </w:p>
          <w:p w14:paraId="74BE1DAE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Forum Związków Zawodowych;</w:t>
            </w:r>
          </w:p>
          <w:p w14:paraId="3C85978B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Konfederację Lewiatan;</w:t>
            </w:r>
          </w:p>
          <w:p w14:paraId="6C1388BC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NSZZ Solidarność;</w:t>
            </w:r>
          </w:p>
          <w:p w14:paraId="44717AF3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Ogólnopolski Związek Zawodowy Lekarzy;</w:t>
            </w:r>
          </w:p>
          <w:p w14:paraId="5086906C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Ogólnopolski Związek Zawodowy Pielęgniarek i Położnych;</w:t>
            </w:r>
          </w:p>
          <w:p w14:paraId="555F5866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Ogólnopolskie Porozumienie Związków Zawodowych;</w:t>
            </w:r>
          </w:p>
          <w:p w14:paraId="45CF20BD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Pracodawców RP;</w:t>
            </w:r>
          </w:p>
          <w:p w14:paraId="3627CAC7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Stowarzyszenie Menedżerów Opieki Zdrowotnej STOMOZ;</w:t>
            </w:r>
          </w:p>
          <w:p w14:paraId="2F9AFF26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Związek Pracodawców Business Centre Club;</w:t>
            </w:r>
          </w:p>
          <w:p w14:paraId="683B19E3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Związek Przedsiębiorców i Pracodawców;</w:t>
            </w:r>
          </w:p>
          <w:p w14:paraId="3E5D0570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Związek Rzemiosła Polskiego;</w:t>
            </w:r>
          </w:p>
          <w:p w14:paraId="573AED45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Federację Pacjentów Polskich;</w:t>
            </w:r>
          </w:p>
          <w:p w14:paraId="0AAD4424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Instytut Praw Pacjenta i Edukacji Zdrowotnej;</w:t>
            </w:r>
          </w:p>
          <w:p w14:paraId="341BDBEA" w14:textId="77777777" w:rsidR="007E2684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Obywatelskie Stowarzyszenie – Dla Dobra Pacjenta;</w:t>
            </w:r>
          </w:p>
          <w:p w14:paraId="4FAC8312" w14:textId="62CB0B22" w:rsidR="000C1679" w:rsidRPr="00456452" w:rsidRDefault="007E2684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Stowarzyszenie Primum Non Nocere;</w:t>
            </w:r>
          </w:p>
          <w:p w14:paraId="5EE5B434" w14:textId="77777777" w:rsidR="00456452" w:rsidRPr="00456452" w:rsidRDefault="00456452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Centrum Organizacyjno-Koordynacyjne ds. Transplantacji „Poltransplant”;</w:t>
            </w:r>
          </w:p>
          <w:p w14:paraId="2D3F29C6" w14:textId="77777777" w:rsidR="00456452" w:rsidRPr="00456452" w:rsidRDefault="00456452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Krajową Radę Transplantacyjną;</w:t>
            </w:r>
          </w:p>
          <w:p w14:paraId="6B326692" w14:textId="582B4A9F" w:rsidR="00456452" w:rsidRPr="00456452" w:rsidRDefault="00456452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Polskie Towarzyst</w:t>
            </w:r>
            <w:r w:rsidR="0031136D">
              <w:rPr>
                <w:rFonts w:ascii="Times New Roman" w:hAnsi="Times New Roman"/>
                <w:color w:val="000000"/>
                <w:spacing w:val="-2"/>
              </w:rPr>
              <w:t>wo</w:t>
            </w:r>
            <w:r w:rsidRPr="00456452">
              <w:rPr>
                <w:rFonts w:ascii="Times New Roman" w:hAnsi="Times New Roman"/>
                <w:color w:val="000000"/>
                <w:spacing w:val="-2"/>
              </w:rPr>
              <w:t xml:space="preserve"> Prawa Medycznego</w:t>
            </w:r>
            <w:r w:rsidR="0031136D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0795E07C" w14:textId="77777777" w:rsidR="00456452" w:rsidRPr="00456452" w:rsidRDefault="00456452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Polskie Towarzystwo Gospodarcze;</w:t>
            </w:r>
          </w:p>
          <w:p w14:paraId="1BD1A8D3" w14:textId="77777777" w:rsidR="00456452" w:rsidRPr="00456452" w:rsidRDefault="00456452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Polskie Towarzystwo Kardiologiczne;</w:t>
            </w:r>
          </w:p>
          <w:p w14:paraId="55466DD5" w14:textId="77777777" w:rsidR="00456452" w:rsidRPr="00456452" w:rsidRDefault="00456452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Polskie Towarzystwo Onkologiczne;</w:t>
            </w:r>
          </w:p>
          <w:p w14:paraId="09F073A7" w14:textId="77777777" w:rsidR="00456452" w:rsidRPr="00456452" w:rsidRDefault="00456452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Polskie Towarzystwo Onkologii Klinicznej;</w:t>
            </w:r>
          </w:p>
          <w:p w14:paraId="68917707" w14:textId="77777777" w:rsidR="00456452" w:rsidRPr="00456452" w:rsidRDefault="00456452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Polskie Towarzystwo Transplantacyjne;</w:t>
            </w:r>
          </w:p>
          <w:p w14:paraId="2F902B93" w14:textId="43C381E9" w:rsidR="00456452" w:rsidRPr="00456452" w:rsidRDefault="00456452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Rad</w:t>
            </w:r>
            <w:r>
              <w:rPr>
                <w:rFonts w:ascii="Times New Roman" w:hAnsi="Times New Roman"/>
                <w:color w:val="000000"/>
                <w:spacing w:val="-2"/>
              </w:rPr>
              <w:t>ę</w:t>
            </w:r>
            <w:r w:rsidRPr="00456452">
              <w:rPr>
                <w:rFonts w:ascii="Times New Roman" w:hAnsi="Times New Roman"/>
                <w:color w:val="000000"/>
                <w:spacing w:val="-2"/>
              </w:rPr>
              <w:t xml:space="preserve"> Dialogu Społecznego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67C9E55D" w14:textId="5E544C70" w:rsidR="000C1679" w:rsidRPr="00456452" w:rsidRDefault="00456452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Rad</w:t>
            </w:r>
            <w:r>
              <w:rPr>
                <w:rFonts w:ascii="Times New Roman" w:hAnsi="Times New Roman"/>
                <w:color w:val="000000"/>
                <w:spacing w:val="-2"/>
              </w:rPr>
              <w:t>ę</w:t>
            </w:r>
            <w:r w:rsidRPr="00456452">
              <w:rPr>
                <w:rFonts w:ascii="Times New Roman" w:hAnsi="Times New Roman"/>
                <w:color w:val="000000"/>
                <w:spacing w:val="-2"/>
              </w:rPr>
              <w:t xml:space="preserve"> Działalności Pożytku Publicznego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5897711F" w14:textId="77777777" w:rsidR="00456452" w:rsidRPr="00456452" w:rsidRDefault="00456452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Instytut Hematologii i Transfuzjologii;</w:t>
            </w:r>
          </w:p>
          <w:p w14:paraId="44DB9CF6" w14:textId="77777777" w:rsidR="00456452" w:rsidRPr="00456452" w:rsidRDefault="00456452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Narodowy Instytut Kardiologii im. Stefana kardynała Wyszyńskiego – Państwowy Instytut Badawczy;</w:t>
            </w:r>
          </w:p>
          <w:p w14:paraId="38215605" w14:textId="77777777" w:rsidR="00456452" w:rsidRPr="00456452" w:rsidRDefault="00456452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Narodowy Instytut Onkologii im. Marii Skłodowskiej-Curie – Państwowy Instytut Badawczy;</w:t>
            </w:r>
          </w:p>
          <w:p w14:paraId="71EDD0AF" w14:textId="77777777" w:rsidR="00456452" w:rsidRPr="00456452" w:rsidRDefault="00456452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Narodowy Instytut Zdrowia Publicznego – Państwowy Instytut Badawczy;</w:t>
            </w:r>
          </w:p>
          <w:p w14:paraId="4B6BC5BB" w14:textId="77777777" w:rsidR="00456452" w:rsidRPr="00456452" w:rsidRDefault="00456452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Specjalistyczne Centrum Medyczne im. św. Jana Pawła II S.A. w Polanicy-Zdroju;</w:t>
            </w:r>
          </w:p>
          <w:p w14:paraId="2765CBE9" w14:textId="77777777" w:rsidR="00C054B5" w:rsidRPr="00456452" w:rsidRDefault="00C054B5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Prezesa Agencji Oceny Technologii Medycznych i Taryfikacji;</w:t>
            </w:r>
          </w:p>
          <w:p w14:paraId="6068C188" w14:textId="77777777" w:rsidR="00C054B5" w:rsidRPr="00456452" w:rsidRDefault="00C054B5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Prezesa Narodowego Funduszu Zdrowia;</w:t>
            </w:r>
          </w:p>
          <w:p w14:paraId="3F6C7D86" w14:textId="77777777" w:rsidR="00C054B5" w:rsidRPr="00456452" w:rsidRDefault="00C054B5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Prezesa Urzędu Ochrony Konkurencji i Konsumentów;</w:t>
            </w:r>
          </w:p>
          <w:p w14:paraId="205DA0E6" w14:textId="77777777" w:rsidR="00C054B5" w:rsidRPr="00456452" w:rsidRDefault="00C054B5" w:rsidP="00456452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Prezesa Urzędu Rejestracji Produktów Leczniczych, Wyrobów Medycznych i Produktów Biobójczych;</w:t>
            </w:r>
          </w:p>
          <w:p w14:paraId="5D127A47" w14:textId="77777777" w:rsidR="00CD1DA8" w:rsidRDefault="00C054B5" w:rsidP="00EF333D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56452">
              <w:rPr>
                <w:rFonts w:ascii="Times New Roman" w:hAnsi="Times New Roman"/>
                <w:color w:val="000000"/>
                <w:spacing w:val="-2"/>
              </w:rPr>
              <w:t>Rzecznika Praw Pacjenta</w:t>
            </w:r>
            <w:r w:rsidR="00CD1DA8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482B3929" w14:textId="5CF5CEFC" w:rsidR="00C054B5" w:rsidRPr="00CD1DA8" w:rsidRDefault="00C054B5" w:rsidP="00CD1DA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D1DA8">
              <w:rPr>
                <w:rFonts w:ascii="Times New Roman" w:hAnsi="Times New Roman"/>
                <w:shd w:val="clear" w:color="auto" w:fill="FFFFFF"/>
              </w:rPr>
              <w:t>Projekt rozporządzenia zostanie udostępniony w Biuletynie Informacji Publicznej Ministerstwa Zdrowia zgodnie z art. 5 ustawy z dnia 7 lipca 2005 r. o działalności lobbingowej w procesie stanowienia prawa (Dz. U. z 2017 r. poz. 248</w:t>
            </w:r>
            <w:r w:rsidR="001F37E1" w:rsidRPr="00CD1DA8">
              <w:rPr>
                <w:rFonts w:ascii="Times New Roman" w:hAnsi="Times New Roman"/>
                <w:shd w:val="clear" w:color="auto" w:fill="FFFFFF"/>
              </w:rPr>
              <w:t>, z późn. zm.</w:t>
            </w:r>
            <w:r w:rsidRPr="00CD1DA8">
              <w:rPr>
                <w:rFonts w:ascii="Times New Roman" w:hAnsi="Times New Roman"/>
                <w:shd w:val="clear" w:color="auto" w:fill="FFFFFF"/>
              </w:rPr>
              <w:t>) oraz w Biuletynie Informacji Publicznej Rządowego Centrum Legislacji, zgodnie z § 52 uchwały nr 190 Rady Ministrów z dnia 29 października 2013 r. – Regulamin pracy Rady Ministrów (M.P. z 202</w:t>
            </w:r>
            <w:r w:rsidR="00E162C7" w:rsidRPr="00CD1DA8">
              <w:rPr>
                <w:rFonts w:ascii="Times New Roman" w:hAnsi="Times New Roman"/>
                <w:shd w:val="clear" w:color="auto" w:fill="FFFFFF"/>
              </w:rPr>
              <w:t>4</w:t>
            </w:r>
            <w:r w:rsidRPr="00CD1DA8">
              <w:rPr>
                <w:rFonts w:ascii="Times New Roman" w:hAnsi="Times New Roman"/>
                <w:shd w:val="clear" w:color="auto" w:fill="FFFFFF"/>
              </w:rPr>
              <w:t xml:space="preserve"> r. poz. </w:t>
            </w:r>
            <w:r w:rsidR="00E162C7" w:rsidRPr="00CD1DA8">
              <w:rPr>
                <w:rFonts w:ascii="Times New Roman" w:hAnsi="Times New Roman"/>
                <w:shd w:val="clear" w:color="auto" w:fill="FFFFFF"/>
              </w:rPr>
              <w:t>806</w:t>
            </w:r>
            <w:r w:rsidRPr="00CD1DA8">
              <w:rPr>
                <w:rFonts w:ascii="Times New Roman" w:hAnsi="Times New Roman"/>
                <w:shd w:val="clear" w:color="auto" w:fill="FFFFFF"/>
              </w:rPr>
              <w:t>).</w:t>
            </w:r>
          </w:p>
          <w:p w14:paraId="299BBDD9" w14:textId="0E4DB3E1" w:rsidR="00C054B5" w:rsidRPr="00875D69" w:rsidRDefault="00C054B5" w:rsidP="00EF333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E68F7">
              <w:rPr>
                <w:rFonts w:ascii="Times New Roman" w:hAnsi="Times New Roman"/>
                <w:spacing w:val="-2"/>
              </w:rPr>
              <w:t>Wyniki konsultacji publicznych i opiniowania zosta</w:t>
            </w:r>
            <w:r>
              <w:rPr>
                <w:rFonts w:ascii="Times New Roman" w:hAnsi="Times New Roman"/>
                <w:spacing w:val="-2"/>
              </w:rPr>
              <w:t>ną</w:t>
            </w:r>
            <w:r w:rsidRPr="001E68F7">
              <w:rPr>
                <w:rFonts w:ascii="Times New Roman" w:hAnsi="Times New Roman"/>
                <w:spacing w:val="-2"/>
              </w:rPr>
              <w:t xml:space="preserve"> omówione w raporcie, stanowiącym załącznik do oceny skutków regulacji.</w:t>
            </w:r>
          </w:p>
        </w:tc>
      </w:tr>
      <w:tr w:rsidR="00C054B5" w:rsidRPr="001E68F7" w14:paraId="0CBFA1A8" w14:textId="77777777" w:rsidTr="00D16DD1">
        <w:trPr>
          <w:trHeight w:val="363"/>
        </w:trPr>
        <w:tc>
          <w:tcPr>
            <w:tcW w:w="11086" w:type="dxa"/>
            <w:gridSpan w:val="25"/>
            <w:shd w:val="clear" w:color="auto" w:fill="99CCFF"/>
            <w:vAlign w:val="center"/>
          </w:tcPr>
          <w:p w14:paraId="5A305F2A" w14:textId="77777777" w:rsidR="00C054B5" w:rsidRPr="001E68F7" w:rsidRDefault="00C054B5" w:rsidP="00C054B5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E68F7">
              <w:rPr>
                <w:rFonts w:ascii="Times New Roman" w:eastAsia="Calibri" w:hAnsi="Times New Roman" w:cs="Times New Roman"/>
                <w:b/>
              </w:rPr>
              <w:lastRenderedPageBreak/>
              <w:t xml:space="preserve"> Wpływ na sektor finansów publicznych</w:t>
            </w:r>
          </w:p>
        </w:tc>
      </w:tr>
      <w:tr w:rsidR="00C054B5" w:rsidRPr="001E68F7" w14:paraId="6E371AA6" w14:textId="77777777" w:rsidTr="00C054B5">
        <w:trPr>
          <w:trHeight w:val="142"/>
        </w:trPr>
        <w:tc>
          <w:tcPr>
            <w:tcW w:w="2429" w:type="dxa"/>
            <w:gridSpan w:val="2"/>
            <w:vMerge w:val="restart"/>
            <w:shd w:val="clear" w:color="auto" w:fill="FFFFFF"/>
            <w:vAlign w:val="center"/>
          </w:tcPr>
          <w:p w14:paraId="2EA963E1" w14:textId="6B6840D2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(ceny stałe z </w:t>
            </w:r>
            <w:r w:rsidR="00F5161E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r.)</w:t>
            </w:r>
          </w:p>
        </w:tc>
        <w:tc>
          <w:tcPr>
            <w:tcW w:w="8657" w:type="dxa"/>
            <w:gridSpan w:val="23"/>
            <w:shd w:val="clear" w:color="auto" w:fill="FFFFFF"/>
            <w:vAlign w:val="center"/>
          </w:tcPr>
          <w:p w14:paraId="33696AE8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pacing w:val="-2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Skutki w okresie 10 lat od wejścia w życie zmian [mln zł]</w:t>
            </w:r>
          </w:p>
        </w:tc>
      </w:tr>
      <w:tr w:rsidR="00C054B5" w:rsidRPr="001E68F7" w14:paraId="7C189FC5" w14:textId="77777777" w:rsidTr="00C054B5">
        <w:trPr>
          <w:trHeight w:val="142"/>
        </w:trPr>
        <w:tc>
          <w:tcPr>
            <w:tcW w:w="2429" w:type="dxa"/>
            <w:gridSpan w:val="2"/>
            <w:vMerge/>
            <w:shd w:val="clear" w:color="auto" w:fill="FFFFFF"/>
            <w:vAlign w:val="center"/>
          </w:tcPr>
          <w:p w14:paraId="53064060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31E07645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0B261547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4F0B00F6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7430B1BC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5" w:type="dxa"/>
            <w:shd w:val="clear" w:color="auto" w:fill="FFFFFF"/>
            <w:vAlign w:val="center"/>
          </w:tcPr>
          <w:p w14:paraId="0B1F675F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4ECD548B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gridSpan w:val="3"/>
            <w:shd w:val="clear" w:color="auto" w:fill="FFFFFF"/>
            <w:vAlign w:val="center"/>
          </w:tcPr>
          <w:p w14:paraId="363138B4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5" w:type="dxa"/>
            <w:gridSpan w:val="3"/>
            <w:shd w:val="clear" w:color="auto" w:fill="FFFFFF"/>
            <w:vAlign w:val="center"/>
          </w:tcPr>
          <w:p w14:paraId="195933ED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5" w:type="dxa"/>
            <w:shd w:val="clear" w:color="auto" w:fill="FFFFFF"/>
            <w:vAlign w:val="center"/>
          </w:tcPr>
          <w:p w14:paraId="0E29B91B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71AF0883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62E68346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4046EDAB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pacing w:val="-2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i/>
                <w:spacing w:val="-2"/>
                <w:sz w:val="20"/>
                <w:szCs w:val="20"/>
              </w:rPr>
              <w:t>Łącznie (0-10)</w:t>
            </w:r>
          </w:p>
        </w:tc>
      </w:tr>
      <w:tr w:rsidR="00C054B5" w:rsidRPr="001E68F7" w14:paraId="615A02B1" w14:textId="77777777" w:rsidTr="00C054B5">
        <w:trPr>
          <w:trHeight w:val="321"/>
        </w:trPr>
        <w:tc>
          <w:tcPr>
            <w:tcW w:w="2429" w:type="dxa"/>
            <w:gridSpan w:val="2"/>
            <w:shd w:val="clear" w:color="auto" w:fill="FFFFFF"/>
            <w:vAlign w:val="center"/>
          </w:tcPr>
          <w:p w14:paraId="57B642EC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Dochody ogółem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06324968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5236BCF3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18FB8986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04D7ABF4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shd w:val="clear" w:color="auto" w:fill="FFFFFF"/>
            <w:vAlign w:val="center"/>
          </w:tcPr>
          <w:p w14:paraId="60EC740C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6A2CEA57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3"/>
            <w:shd w:val="clear" w:color="auto" w:fill="FFFFFF"/>
            <w:vAlign w:val="center"/>
          </w:tcPr>
          <w:p w14:paraId="582700B8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3"/>
            <w:shd w:val="clear" w:color="auto" w:fill="FFFFFF"/>
            <w:vAlign w:val="center"/>
          </w:tcPr>
          <w:p w14:paraId="6B536902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dxa"/>
            <w:shd w:val="clear" w:color="auto" w:fill="FFFFFF"/>
            <w:vAlign w:val="center"/>
          </w:tcPr>
          <w:p w14:paraId="79F06D94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17A8D0B6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425B9907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4F0A8340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054B5" w:rsidRPr="001E68F7" w14:paraId="284DE08E" w14:textId="77777777" w:rsidTr="00C054B5">
        <w:trPr>
          <w:trHeight w:val="321"/>
        </w:trPr>
        <w:tc>
          <w:tcPr>
            <w:tcW w:w="2429" w:type="dxa"/>
            <w:gridSpan w:val="2"/>
            <w:shd w:val="clear" w:color="auto" w:fill="FFFFFF"/>
            <w:vAlign w:val="center"/>
          </w:tcPr>
          <w:p w14:paraId="55263556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budżet państwa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35D919CE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64BFCD73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2D3997E9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15858509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shd w:val="clear" w:color="auto" w:fill="FFFFFF"/>
            <w:vAlign w:val="center"/>
          </w:tcPr>
          <w:p w14:paraId="3E4D775F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3CE94DD4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3"/>
            <w:shd w:val="clear" w:color="auto" w:fill="FFFFFF"/>
            <w:vAlign w:val="center"/>
          </w:tcPr>
          <w:p w14:paraId="5D5BA172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3"/>
            <w:shd w:val="clear" w:color="auto" w:fill="FFFFFF"/>
            <w:vAlign w:val="center"/>
          </w:tcPr>
          <w:p w14:paraId="1F4D6DAE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dxa"/>
            <w:shd w:val="clear" w:color="auto" w:fill="FFFFFF"/>
            <w:vAlign w:val="center"/>
          </w:tcPr>
          <w:p w14:paraId="787568D3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4B4364D5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738014B8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13A7D2C7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0</w:t>
            </w:r>
          </w:p>
        </w:tc>
      </w:tr>
      <w:tr w:rsidR="00C054B5" w:rsidRPr="001E68F7" w14:paraId="60E9FE3B" w14:textId="77777777" w:rsidTr="00C054B5">
        <w:trPr>
          <w:trHeight w:val="344"/>
        </w:trPr>
        <w:tc>
          <w:tcPr>
            <w:tcW w:w="2429" w:type="dxa"/>
            <w:gridSpan w:val="2"/>
            <w:shd w:val="clear" w:color="auto" w:fill="FFFFFF"/>
            <w:vAlign w:val="center"/>
          </w:tcPr>
          <w:p w14:paraId="4EAC6D45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JST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47E8C70F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48295FDE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764FA42F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685A856D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shd w:val="clear" w:color="auto" w:fill="FFFFFF"/>
            <w:vAlign w:val="center"/>
          </w:tcPr>
          <w:p w14:paraId="73BD853B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48AD1215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3"/>
            <w:shd w:val="clear" w:color="auto" w:fill="FFFFFF"/>
            <w:vAlign w:val="center"/>
          </w:tcPr>
          <w:p w14:paraId="329B8DF7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3"/>
            <w:shd w:val="clear" w:color="auto" w:fill="FFFFFF"/>
            <w:vAlign w:val="center"/>
          </w:tcPr>
          <w:p w14:paraId="14A20A82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dxa"/>
            <w:shd w:val="clear" w:color="auto" w:fill="FFFFFF"/>
            <w:vAlign w:val="center"/>
          </w:tcPr>
          <w:p w14:paraId="2779E589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0A67771D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3E514BCF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4FD6077C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054B5" w:rsidRPr="001E68F7" w14:paraId="6C522633" w14:textId="77777777" w:rsidTr="00C054B5">
        <w:trPr>
          <w:trHeight w:val="344"/>
        </w:trPr>
        <w:tc>
          <w:tcPr>
            <w:tcW w:w="2429" w:type="dxa"/>
            <w:gridSpan w:val="2"/>
            <w:shd w:val="clear" w:color="auto" w:fill="FFFFFF"/>
            <w:vAlign w:val="center"/>
          </w:tcPr>
          <w:p w14:paraId="0BCB03A4" w14:textId="5F988CC1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hAnsi="Times New Roman"/>
                <w:sz w:val="21"/>
                <w:szCs w:val="21"/>
              </w:rPr>
              <w:t>pozostałe jednostki (oddzielnie)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065754C4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5F5BA0CB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5934716C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4BF028BB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shd w:val="clear" w:color="auto" w:fill="FFFFFF"/>
            <w:vAlign w:val="center"/>
          </w:tcPr>
          <w:p w14:paraId="5757685F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4F4BE791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3"/>
            <w:shd w:val="clear" w:color="auto" w:fill="FFFFFF"/>
            <w:vAlign w:val="center"/>
          </w:tcPr>
          <w:p w14:paraId="2DFF8476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3"/>
            <w:shd w:val="clear" w:color="auto" w:fill="FFFFFF"/>
            <w:vAlign w:val="center"/>
          </w:tcPr>
          <w:p w14:paraId="3E897417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dxa"/>
            <w:shd w:val="clear" w:color="auto" w:fill="FFFFFF"/>
            <w:vAlign w:val="center"/>
          </w:tcPr>
          <w:p w14:paraId="3A376C4D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7B42868F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42310BD1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6E9F321B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054B5" w:rsidRPr="001E68F7" w14:paraId="0BEA06D2" w14:textId="77777777" w:rsidTr="00C054B5">
        <w:trPr>
          <w:trHeight w:val="330"/>
        </w:trPr>
        <w:tc>
          <w:tcPr>
            <w:tcW w:w="2429" w:type="dxa"/>
            <w:gridSpan w:val="2"/>
            <w:shd w:val="clear" w:color="auto" w:fill="FFFFFF"/>
            <w:vAlign w:val="center"/>
          </w:tcPr>
          <w:p w14:paraId="26905E0D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Wydatki ogółem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0B74E561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1E9066C0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24C2832E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552F54BA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shd w:val="clear" w:color="auto" w:fill="FFFFFF"/>
            <w:vAlign w:val="center"/>
          </w:tcPr>
          <w:p w14:paraId="13D23552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025444CA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3"/>
            <w:shd w:val="clear" w:color="auto" w:fill="FFFFFF"/>
            <w:vAlign w:val="center"/>
          </w:tcPr>
          <w:p w14:paraId="75DF9D1F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3"/>
            <w:shd w:val="clear" w:color="auto" w:fill="FFFFFF"/>
            <w:vAlign w:val="center"/>
          </w:tcPr>
          <w:p w14:paraId="1E9BA0C2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dxa"/>
            <w:shd w:val="clear" w:color="auto" w:fill="FFFFFF"/>
            <w:vAlign w:val="center"/>
          </w:tcPr>
          <w:p w14:paraId="5372EBA5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7AC7097B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40C3AD25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2DD628DA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054B5" w:rsidRPr="001E68F7" w14:paraId="2EA0D4B6" w14:textId="77777777" w:rsidTr="00C054B5">
        <w:trPr>
          <w:trHeight w:val="330"/>
        </w:trPr>
        <w:tc>
          <w:tcPr>
            <w:tcW w:w="2429" w:type="dxa"/>
            <w:gridSpan w:val="2"/>
            <w:shd w:val="clear" w:color="auto" w:fill="FFFFFF"/>
            <w:vAlign w:val="center"/>
          </w:tcPr>
          <w:p w14:paraId="2C144EAD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budżet państwa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221B1904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049B83F3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5D21BE6B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7292F119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shd w:val="clear" w:color="auto" w:fill="FFFFFF"/>
            <w:vAlign w:val="center"/>
          </w:tcPr>
          <w:p w14:paraId="0A38514F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2D93F5AE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3"/>
            <w:shd w:val="clear" w:color="auto" w:fill="FFFFFF"/>
            <w:vAlign w:val="center"/>
          </w:tcPr>
          <w:p w14:paraId="2044CD9C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3"/>
            <w:shd w:val="clear" w:color="auto" w:fill="FFFFFF"/>
            <w:vAlign w:val="center"/>
          </w:tcPr>
          <w:p w14:paraId="0A909265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dxa"/>
            <w:shd w:val="clear" w:color="auto" w:fill="FFFFFF"/>
            <w:vAlign w:val="center"/>
          </w:tcPr>
          <w:p w14:paraId="674CF36C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0E23620F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7E759B88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00DCB88E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054B5" w:rsidRPr="001E68F7" w14:paraId="635D43EC" w14:textId="77777777" w:rsidTr="00C054B5">
        <w:trPr>
          <w:trHeight w:val="351"/>
        </w:trPr>
        <w:tc>
          <w:tcPr>
            <w:tcW w:w="2429" w:type="dxa"/>
            <w:gridSpan w:val="2"/>
            <w:shd w:val="clear" w:color="auto" w:fill="FFFFFF"/>
            <w:vAlign w:val="center"/>
          </w:tcPr>
          <w:p w14:paraId="6B0D1BA3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JST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70EA3988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ADFBA2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9B5EFB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977097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C72D8C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2B06E3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400B1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8B520E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D7AF11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63D9B1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A3562F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6B2E1EB7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054B5" w:rsidRPr="001E68F7" w14:paraId="58B182A1" w14:textId="77777777" w:rsidTr="00C054B5">
        <w:trPr>
          <w:trHeight w:val="351"/>
        </w:trPr>
        <w:tc>
          <w:tcPr>
            <w:tcW w:w="2429" w:type="dxa"/>
            <w:gridSpan w:val="2"/>
            <w:shd w:val="clear" w:color="auto" w:fill="FFFFFF"/>
            <w:vAlign w:val="center"/>
          </w:tcPr>
          <w:p w14:paraId="0C038EE0" w14:textId="229DE2FF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hAnsi="Times New Roman"/>
                <w:sz w:val="21"/>
                <w:szCs w:val="21"/>
              </w:rPr>
              <w:t>pozostałe jednostki (oddzielnie)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EE8E" w14:textId="3FE456AA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ACDA" w14:textId="4B6A163F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1D5B" w14:textId="0DB1E894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170E" w14:textId="18BE666E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5C9C" w14:textId="0D83EA41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B56B" w14:textId="0E91E17B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C786" w14:textId="4245E5E9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50FA" w14:textId="06F363BC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2C82" w14:textId="7AD98C9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5F14" w14:textId="7112E00D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52D1" w14:textId="7C2A38FF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4DEF76DF" w14:textId="1E8B7650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A8750E" w14:textId="44A46065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87CD985" w14:textId="6A800FEA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54B5" w:rsidRPr="001E68F7" w14:paraId="57CBE8FE" w14:textId="77777777" w:rsidTr="00C054B5">
        <w:trPr>
          <w:trHeight w:val="360"/>
        </w:trPr>
        <w:tc>
          <w:tcPr>
            <w:tcW w:w="2429" w:type="dxa"/>
            <w:gridSpan w:val="2"/>
            <w:shd w:val="clear" w:color="auto" w:fill="FFFFFF"/>
            <w:vAlign w:val="center"/>
          </w:tcPr>
          <w:p w14:paraId="2CED46FC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Saldo ogółem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25C90BFD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DDA59B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26E3BB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FB4E28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F22A79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544AE9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CA964C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F4D0A7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F577D9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03B03A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8C663C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253AB203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054B5" w:rsidRPr="001E68F7" w14:paraId="17DA8E5D" w14:textId="77777777" w:rsidTr="00C054B5">
        <w:trPr>
          <w:trHeight w:val="360"/>
        </w:trPr>
        <w:tc>
          <w:tcPr>
            <w:tcW w:w="2429" w:type="dxa"/>
            <w:gridSpan w:val="2"/>
            <w:shd w:val="clear" w:color="auto" w:fill="FFFFFF"/>
            <w:vAlign w:val="center"/>
          </w:tcPr>
          <w:p w14:paraId="44B63DB0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budżet państwa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1E697031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4E01C6D1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3535108D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4FC8B5C8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shd w:val="clear" w:color="auto" w:fill="FFFFFF"/>
            <w:vAlign w:val="center"/>
          </w:tcPr>
          <w:p w14:paraId="61F29B36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3339537D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3"/>
            <w:shd w:val="clear" w:color="auto" w:fill="FFFFFF"/>
            <w:vAlign w:val="center"/>
          </w:tcPr>
          <w:p w14:paraId="3944B954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3"/>
            <w:shd w:val="clear" w:color="auto" w:fill="FFFFFF"/>
            <w:vAlign w:val="center"/>
          </w:tcPr>
          <w:p w14:paraId="1C8699F8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dxa"/>
            <w:shd w:val="clear" w:color="auto" w:fill="FFFFFF"/>
            <w:vAlign w:val="center"/>
          </w:tcPr>
          <w:p w14:paraId="72CD7963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4FB6B0F1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2EAEEFA2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082BEAC7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054B5" w:rsidRPr="001E68F7" w14:paraId="127FF8D1" w14:textId="77777777" w:rsidTr="00C054B5">
        <w:trPr>
          <w:trHeight w:val="357"/>
        </w:trPr>
        <w:tc>
          <w:tcPr>
            <w:tcW w:w="2429" w:type="dxa"/>
            <w:gridSpan w:val="2"/>
            <w:shd w:val="clear" w:color="auto" w:fill="FFFFFF"/>
            <w:vAlign w:val="center"/>
          </w:tcPr>
          <w:p w14:paraId="369456DC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JST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73D4FDED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4D1E5C4A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20C77201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1E6D5227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shd w:val="clear" w:color="auto" w:fill="FFFFFF"/>
            <w:vAlign w:val="center"/>
          </w:tcPr>
          <w:p w14:paraId="62F56813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7BA68CCC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3"/>
            <w:shd w:val="clear" w:color="auto" w:fill="FFFFFF"/>
            <w:vAlign w:val="center"/>
          </w:tcPr>
          <w:p w14:paraId="3F745D87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3"/>
            <w:shd w:val="clear" w:color="auto" w:fill="FFFFFF"/>
            <w:vAlign w:val="center"/>
          </w:tcPr>
          <w:p w14:paraId="6E34E1C7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dxa"/>
            <w:shd w:val="clear" w:color="auto" w:fill="FFFFFF"/>
            <w:vAlign w:val="center"/>
          </w:tcPr>
          <w:p w14:paraId="7DC6720C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41121FC9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6F5A2B5F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713ED50B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054B5" w:rsidRPr="001E68F7" w14:paraId="434A0B28" w14:textId="77777777" w:rsidTr="00C054B5">
        <w:trPr>
          <w:trHeight w:val="690"/>
        </w:trPr>
        <w:tc>
          <w:tcPr>
            <w:tcW w:w="2429" w:type="dxa"/>
            <w:gridSpan w:val="2"/>
            <w:shd w:val="clear" w:color="auto" w:fill="FFFFFF"/>
            <w:vAlign w:val="center"/>
          </w:tcPr>
          <w:p w14:paraId="52791A1B" w14:textId="370E8F45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hAnsi="Times New Roman"/>
                <w:sz w:val="21"/>
                <w:szCs w:val="21"/>
              </w:rPr>
              <w:t xml:space="preserve"> pozostałe jednostki (oddzielnie)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0AEB4FC9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00607A8F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104A7DB2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14C4BC8E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shd w:val="clear" w:color="auto" w:fill="FFFFFF"/>
            <w:vAlign w:val="center"/>
          </w:tcPr>
          <w:p w14:paraId="5A825FD8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56A3BFB5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3"/>
            <w:shd w:val="clear" w:color="auto" w:fill="FFFFFF"/>
            <w:vAlign w:val="center"/>
          </w:tcPr>
          <w:p w14:paraId="62FE77CA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gridSpan w:val="3"/>
            <w:shd w:val="clear" w:color="auto" w:fill="FFFFFF"/>
            <w:vAlign w:val="center"/>
          </w:tcPr>
          <w:p w14:paraId="574675F2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dxa"/>
            <w:shd w:val="clear" w:color="auto" w:fill="FFFFFF"/>
            <w:vAlign w:val="center"/>
          </w:tcPr>
          <w:p w14:paraId="45279E87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gridSpan w:val="2"/>
            <w:shd w:val="clear" w:color="auto" w:fill="FFFFFF"/>
            <w:vAlign w:val="center"/>
          </w:tcPr>
          <w:p w14:paraId="1BF9842D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gridSpan w:val="2"/>
            <w:shd w:val="clear" w:color="auto" w:fill="FFFFFF"/>
            <w:vAlign w:val="center"/>
          </w:tcPr>
          <w:p w14:paraId="4E5071BD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7F282CC2" w14:textId="77777777" w:rsidR="00C054B5" w:rsidRPr="001E68F7" w:rsidRDefault="00C054B5" w:rsidP="00C0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8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054B5" w:rsidRPr="001E68F7" w14:paraId="6933EB5B" w14:textId="77777777" w:rsidTr="00C054B5">
        <w:trPr>
          <w:trHeight w:val="782"/>
        </w:trPr>
        <w:tc>
          <w:tcPr>
            <w:tcW w:w="1590" w:type="dxa"/>
            <w:shd w:val="clear" w:color="auto" w:fill="FFFFFF"/>
            <w:vAlign w:val="center"/>
          </w:tcPr>
          <w:p w14:paraId="0A9AE0F7" w14:textId="77777777" w:rsidR="00C054B5" w:rsidRPr="001E68F7" w:rsidRDefault="00C054B5" w:rsidP="00C05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 xml:space="preserve">Źródła finansowania </w:t>
            </w:r>
          </w:p>
        </w:tc>
        <w:tc>
          <w:tcPr>
            <w:tcW w:w="9496" w:type="dxa"/>
            <w:gridSpan w:val="24"/>
            <w:shd w:val="clear" w:color="auto" w:fill="FFFFFF"/>
            <w:vAlign w:val="center"/>
          </w:tcPr>
          <w:p w14:paraId="4459097F" w14:textId="09BE3562" w:rsidR="00873B9D" w:rsidRDefault="00873B9D" w:rsidP="00FD0CD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3B9D">
              <w:rPr>
                <w:rFonts w:ascii="Times New Roman" w:hAnsi="Times New Roman"/>
                <w:color w:val="000000"/>
              </w:rPr>
              <w:t>Projektowana zmiana nie będzie miała wpływu na budżet państwa i budżety jednostek samorządu terytorialnego.</w:t>
            </w:r>
          </w:p>
          <w:p w14:paraId="20EAC27D" w14:textId="53C35125" w:rsidR="00C054B5" w:rsidRPr="008E0A8A" w:rsidRDefault="00873B9D" w:rsidP="00FD0C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Projektowana zmiana zostanie sfinansowana</w:t>
            </w:r>
            <w:r w:rsidRPr="00873B9D">
              <w:rPr>
                <w:rFonts w:ascii="Times New Roman" w:hAnsi="Times New Roman"/>
                <w:color w:val="000000"/>
              </w:rPr>
              <w:t xml:space="preserve"> w ramach środków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125CE" w:rsidRPr="00A125CE">
              <w:rPr>
                <w:rFonts w:ascii="Times New Roman" w:hAnsi="Times New Roman"/>
                <w:color w:val="000000"/>
              </w:rPr>
              <w:t>zabezpieczon</w:t>
            </w:r>
            <w:r w:rsidR="00A125CE">
              <w:rPr>
                <w:rFonts w:ascii="Times New Roman" w:hAnsi="Times New Roman"/>
                <w:color w:val="000000"/>
              </w:rPr>
              <w:t>ych</w:t>
            </w:r>
            <w:r w:rsidR="00A125CE" w:rsidRPr="00A125CE">
              <w:rPr>
                <w:rFonts w:ascii="Times New Roman" w:hAnsi="Times New Roman"/>
                <w:color w:val="000000"/>
              </w:rPr>
              <w:t xml:space="preserve"> w plan</w:t>
            </w:r>
            <w:r w:rsidR="00A125CE">
              <w:rPr>
                <w:rFonts w:ascii="Times New Roman" w:hAnsi="Times New Roman"/>
                <w:color w:val="000000"/>
              </w:rPr>
              <w:t>ie</w:t>
            </w:r>
            <w:r w:rsidR="00A125CE" w:rsidRPr="00A125CE">
              <w:rPr>
                <w:rFonts w:ascii="Times New Roman" w:hAnsi="Times New Roman"/>
                <w:color w:val="000000"/>
              </w:rPr>
              <w:t xml:space="preserve"> NFZ na 2025 r. </w:t>
            </w:r>
            <w:r w:rsidRPr="00873B9D">
              <w:rPr>
                <w:rFonts w:ascii="Times New Roman" w:hAnsi="Times New Roman"/>
                <w:color w:val="000000"/>
              </w:rPr>
              <w:t>w poz.</w:t>
            </w:r>
            <w:r w:rsidR="00FD0CDF">
              <w:rPr>
                <w:rFonts w:ascii="Times New Roman" w:hAnsi="Times New Roman"/>
                <w:color w:val="000000"/>
              </w:rPr>
              <w:t xml:space="preserve"> </w:t>
            </w:r>
            <w:r w:rsidR="00FD0CDF" w:rsidRPr="00FD0CDF">
              <w:rPr>
                <w:rFonts w:ascii="Times New Roman" w:hAnsi="Times New Roman"/>
                <w:color w:val="000000"/>
              </w:rPr>
              <w:t xml:space="preserve">B2 – Koszty świadczeń opieki zdrowotnej </w:t>
            </w:r>
            <w:r w:rsidRPr="00873B9D">
              <w:rPr>
                <w:rFonts w:ascii="Times New Roman" w:hAnsi="Times New Roman"/>
                <w:color w:val="000000"/>
              </w:rPr>
              <w:t>B2.3 – leczenie szpitalne</w:t>
            </w:r>
            <w:r w:rsidR="00FD0CDF">
              <w:rPr>
                <w:rFonts w:ascii="Times New Roman" w:hAnsi="Times New Roman"/>
                <w:color w:val="000000"/>
              </w:rPr>
              <w:t xml:space="preserve"> </w:t>
            </w:r>
            <w:r w:rsidRPr="00873B9D">
              <w:rPr>
                <w:rFonts w:ascii="Times New Roman" w:hAnsi="Times New Roman"/>
                <w:color w:val="000000"/>
              </w:rPr>
              <w:t>oraz nie będzie konieczności zwiększania z tego tytułu kosztów NFZ w latach kolejnych w ramach prognozy kosztów NFZ.</w:t>
            </w:r>
          </w:p>
        </w:tc>
      </w:tr>
      <w:tr w:rsidR="00F5161E" w:rsidRPr="001E68F7" w14:paraId="761176B9" w14:textId="77777777" w:rsidTr="00C054B5">
        <w:trPr>
          <w:trHeight w:val="1528"/>
        </w:trPr>
        <w:tc>
          <w:tcPr>
            <w:tcW w:w="1590" w:type="dxa"/>
            <w:shd w:val="clear" w:color="auto" w:fill="FFFFFF"/>
          </w:tcPr>
          <w:p w14:paraId="07D8F9DF" w14:textId="77777777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Dodatkowe informacje, w tym wskazanie źródeł danych i przyjętych do obliczeń założeń</w:t>
            </w:r>
          </w:p>
        </w:tc>
        <w:tc>
          <w:tcPr>
            <w:tcW w:w="9496" w:type="dxa"/>
            <w:gridSpan w:val="24"/>
            <w:shd w:val="clear" w:color="auto" w:fill="FFFFFF"/>
          </w:tcPr>
          <w:p w14:paraId="604FBA56" w14:textId="22648BCA" w:rsidR="001E23A1" w:rsidRDefault="001E23A1" w:rsidP="00BE352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E23A1">
              <w:rPr>
                <w:rFonts w:ascii="Times New Roman" w:hAnsi="Times New Roman"/>
                <w:color w:val="000000" w:themeColor="text1"/>
              </w:rPr>
              <w:t>Obecnie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E23A1">
              <w:rPr>
                <w:rFonts w:ascii="Times New Roman" w:hAnsi="Times New Roman"/>
                <w:color w:val="000000" w:themeColor="text1"/>
              </w:rPr>
              <w:t>fotoferez</w:t>
            </w:r>
            <w:r>
              <w:rPr>
                <w:rFonts w:ascii="Times New Roman" w:hAnsi="Times New Roman"/>
                <w:color w:val="000000" w:themeColor="text1"/>
              </w:rPr>
              <w:t>a</w:t>
            </w:r>
            <w:r w:rsidRPr="001E23A1">
              <w:rPr>
                <w:rFonts w:ascii="Times New Roman" w:hAnsi="Times New Roman"/>
                <w:color w:val="000000" w:themeColor="text1"/>
              </w:rPr>
              <w:t xml:space="preserve"> pozaustrojow</w:t>
            </w:r>
            <w:r>
              <w:rPr>
                <w:rFonts w:ascii="Times New Roman" w:hAnsi="Times New Roman"/>
                <w:color w:val="000000" w:themeColor="text1"/>
              </w:rPr>
              <w:t>a (ECP)</w:t>
            </w:r>
            <w:r w:rsidRPr="001E23A1">
              <w:rPr>
                <w:rFonts w:ascii="Times New Roman" w:hAnsi="Times New Roman"/>
                <w:color w:val="000000" w:themeColor="text1"/>
              </w:rPr>
              <w:t xml:space="preserve"> w leczeniu ostrej lub przewlekłej choroby przeszczep przeciwko gospodarzowi (GvHD</w:t>
            </w:r>
            <w:r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Pr="001E23A1">
              <w:rPr>
                <w:rFonts w:ascii="Times New Roman" w:hAnsi="Times New Roman"/>
                <w:color w:val="000000" w:themeColor="text1"/>
              </w:rPr>
              <w:t xml:space="preserve">opornej na kortykosteroidy nie jest finansowana </w:t>
            </w:r>
            <w:r w:rsidR="00BE3520">
              <w:rPr>
                <w:rFonts w:ascii="Times New Roman" w:hAnsi="Times New Roman"/>
                <w:color w:val="000000" w:themeColor="text1"/>
              </w:rPr>
              <w:t>przez</w:t>
            </w:r>
            <w:r w:rsidRPr="001E23A1">
              <w:rPr>
                <w:rFonts w:ascii="Times New Roman" w:hAnsi="Times New Roman"/>
                <w:color w:val="000000" w:themeColor="text1"/>
              </w:rPr>
              <w:t xml:space="preserve"> NFZ.</w:t>
            </w:r>
          </w:p>
          <w:p w14:paraId="0A828685" w14:textId="1F71D94C" w:rsidR="001E23A1" w:rsidRDefault="001E23A1" w:rsidP="00BE352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E23A1">
              <w:rPr>
                <w:rFonts w:ascii="Times New Roman" w:hAnsi="Times New Roman"/>
                <w:color w:val="000000" w:themeColor="text1"/>
              </w:rPr>
              <w:t>Aktualnie fotofereza pozaustrojowa jest finansowana w ramach Narodowego Programu Transplantacyjnego na lata 2023–2032 r. (będącego kolejną edycją programu wieloletniego na lata 2011–2022 pod nazwą „Narodowy Program Rozwoju Medycyny Transplantacyjnej”) ze środków budżetu państwa z części 46 – Zdrowie, której dysponentem jest Ministra Zdrowia.</w:t>
            </w:r>
          </w:p>
          <w:p w14:paraId="566470A0" w14:textId="2556E4A7" w:rsidR="00F5161E" w:rsidRPr="006D126A" w:rsidRDefault="00F5161E" w:rsidP="00BE352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D126A">
              <w:rPr>
                <w:rFonts w:ascii="Times New Roman" w:hAnsi="Times New Roman"/>
                <w:color w:val="000000" w:themeColor="text1"/>
              </w:rPr>
              <w:t>Oszacowania dotyczące</w:t>
            </w:r>
            <w:r w:rsidR="00C4351A">
              <w:rPr>
                <w:rFonts w:ascii="Times New Roman" w:hAnsi="Times New Roman"/>
                <w:color w:val="000000" w:themeColor="text1"/>
              </w:rPr>
              <w:t>go</w:t>
            </w:r>
            <w:r w:rsidRPr="006D126A">
              <w:rPr>
                <w:rFonts w:ascii="Times New Roman" w:hAnsi="Times New Roman"/>
                <w:color w:val="000000" w:themeColor="text1"/>
              </w:rPr>
              <w:t xml:space="preserve"> kosztów NFZ</w:t>
            </w:r>
            <w:r w:rsidR="00C4351A">
              <w:rPr>
                <w:rFonts w:ascii="Times New Roman" w:hAnsi="Times New Roman"/>
                <w:color w:val="000000" w:themeColor="text1"/>
              </w:rPr>
              <w:t xml:space="preserve"> związanych z wprowadzeniem projektowanych zmian </w:t>
            </w:r>
            <w:r w:rsidRPr="006D126A">
              <w:rPr>
                <w:rFonts w:ascii="Times New Roman" w:hAnsi="Times New Roman"/>
                <w:color w:val="000000" w:themeColor="text1"/>
              </w:rPr>
              <w:t>dokonano w oparciu o dane historyczne M</w:t>
            </w:r>
            <w:r>
              <w:rPr>
                <w:rFonts w:ascii="Times New Roman" w:hAnsi="Times New Roman"/>
                <w:color w:val="000000" w:themeColor="text1"/>
              </w:rPr>
              <w:t xml:space="preserve">inisterstwa </w:t>
            </w:r>
            <w:r w:rsidRPr="006D126A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drowia</w:t>
            </w:r>
            <w:r w:rsidRPr="006D126A">
              <w:rPr>
                <w:rFonts w:ascii="Times New Roman" w:hAnsi="Times New Roman"/>
                <w:color w:val="000000" w:themeColor="text1"/>
              </w:rPr>
              <w:t xml:space="preserve"> dotyczące realizacji Narodowego Programu Medycyny Transplantacyjnej, w oparciu o opinie ekspertów klinicznych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6D126A">
              <w:rPr>
                <w:rFonts w:ascii="Times New Roman" w:hAnsi="Times New Roman"/>
                <w:color w:val="000000" w:themeColor="text1"/>
              </w:rPr>
              <w:t xml:space="preserve"> a także danych sprawozdawczych ośrodków realizujących tę procedurę.</w:t>
            </w:r>
          </w:p>
          <w:p w14:paraId="66417BDF" w14:textId="4E56CBC3" w:rsidR="00F5161E" w:rsidRPr="006D126A" w:rsidRDefault="00F5161E" w:rsidP="00BE3520">
            <w:pPr>
              <w:pStyle w:val="04TabelepodpisRaportWS"/>
              <w:spacing w:before="0" w:after="120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bookmarkStart w:id="2" w:name="_Toc118703039"/>
            <w:r w:rsidRPr="006D126A"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Prognozowana liczba pacjentów z GvHD kwalifikująca się do ECP, liczba procedur oraz koszty w 10-letnim horyzoncie czasowym</w:t>
            </w:r>
            <w:r w:rsidR="00BE3520"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 xml:space="preserve"> są następujące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6D126A"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bookmarkEnd w:id="2"/>
          </w:p>
          <w:tbl>
            <w:tblPr>
              <w:tblStyle w:val="Tabela-Siatka"/>
              <w:tblW w:w="4534" w:type="pct"/>
              <w:tblLayout w:type="fixed"/>
              <w:tblLook w:val="04A0" w:firstRow="1" w:lastRow="0" w:firstColumn="1" w:lastColumn="0" w:noHBand="0" w:noVBand="1"/>
            </w:tblPr>
            <w:tblGrid>
              <w:gridCol w:w="575"/>
              <w:gridCol w:w="2576"/>
              <w:gridCol w:w="2700"/>
              <w:gridCol w:w="2700"/>
            </w:tblGrid>
            <w:tr w:rsidR="00F5161E" w:rsidRPr="006D126A" w14:paraId="70F0B4AA" w14:textId="77777777" w:rsidTr="00BC5D09">
              <w:trPr>
                <w:trHeight w:val="361"/>
                <w:tblHeader/>
              </w:trPr>
              <w:tc>
                <w:tcPr>
                  <w:tcW w:w="336" w:type="pct"/>
                  <w:shd w:val="clear" w:color="auto" w:fill="BFBFBF" w:themeFill="background1" w:themeFillShade="BF"/>
                  <w:vAlign w:val="center"/>
                </w:tcPr>
                <w:p w14:paraId="7939FA5E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506" w:type="pct"/>
                  <w:shd w:val="clear" w:color="auto" w:fill="BFBFBF" w:themeFill="background1" w:themeFillShade="BF"/>
                  <w:vAlign w:val="center"/>
                </w:tcPr>
                <w:p w14:paraId="4046D89E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Liczba pacjentów</w:t>
                  </w:r>
                </w:p>
              </w:tc>
              <w:tc>
                <w:tcPr>
                  <w:tcW w:w="1579" w:type="pct"/>
                  <w:shd w:val="clear" w:color="auto" w:fill="BFBFBF" w:themeFill="background1" w:themeFillShade="BF"/>
                </w:tcPr>
                <w:p w14:paraId="78F0F199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Liczba procedur</w:t>
                  </w:r>
                </w:p>
              </w:tc>
              <w:tc>
                <w:tcPr>
                  <w:tcW w:w="1579" w:type="pct"/>
                  <w:shd w:val="clear" w:color="auto" w:fill="BFBFBF" w:themeFill="background1" w:themeFillShade="BF"/>
                </w:tcPr>
                <w:p w14:paraId="4E71705E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Koszty – ogółem [mln 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zł</w:t>
                  </w:r>
                  <w:r w:rsidRPr="006D126A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]</w:t>
                  </w:r>
                </w:p>
              </w:tc>
            </w:tr>
            <w:tr w:rsidR="00F5161E" w:rsidRPr="006D126A" w14:paraId="316CA0D0" w14:textId="77777777" w:rsidTr="00BC5D09">
              <w:trPr>
                <w:trHeight w:val="280"/>
              </w:trPr>
              <w:tc>
                <w:tcPr>
                  <w:tcW w:w="336" w:type="pct"/>
                </w:tcPr>
                <w:p w14:paraId="5D4FDAE3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06" w:type="pct"/>
                </w:tcPr>
                <w:p w14:paraId="5B8D1D7D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133</w:t>
                  </w:r>
                </w:p>
              </w:tc>
              <w:tc>
                <w:tcPr>
                  <w:tcW w:w="1579" w:type="pct"/>
                </w:tcPr>
                <w:p w14:paraId="4FB13B3F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1 053</w:t>
                  </w:r>
                </w:p>
              </w:tc>
              <w:tc>
                <w:tcPr>
                  <w:tcW w:w="1579" w:type="pct"/>
                </w:tcPr>
                <w:p w14:paraId="5D3ABCDF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9,89</w:t>
                  </w:r>
                </w:p>
              </w:tc>
            </w:tr>
            <w:tr w:rsidR="00F5161E" w:rsidRPr="006D126A" w14:paraId="647FD1E5" w14:textId="77777777" w:rsidTr="00BC5D09">
              <w:trPr>
                <w:trHeight w:val="280"/>
              </w:trPr>
              <w:tc>
                <w:tcPr>
                  <w:tcW w:w="336" w:type="pct"/>
                </w:tcPr>
                <w:p w14:paraId="2F621152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06" w:type="pct"/>
                </w:tcPr>
                <w:p w14:paraId="603F54BF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144</w:t>
                  </w:r>
                </w:p>
              </w:tc>
              <w:tc>
                <w:tcPr>
                  <w:tcW w:w="1579" w:type="pct"/>
                </w:tcPr>
                <w:p w14:paraId="78A31B0B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1 058</w:t>
                  </w:r>
                </w:p>
              </w:tc>
              <w:tc>
                <w:tcPr>
                  <w:tcW w:w="1579" w:type="pct"/>
                </w:tcPr>
                <w:p w14:paraId="24517846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9,92</w:t>
                  </w:r>
                </w:p>
              </w:tc>
            </w:tr>
            <w:tr w:rsidR="00F5161E" w:rsidRPr="006D126A" w14:paraId="24D2B090" w14:textId="77777777" w:rsidTr="00BC5D09">
              <w:trPr>
                <w:trHeight w:val="280"/>
              </w:trPr>
              <w:tc>
                <w:tcPr>
                  <w:tcW w:w="336" w:type="pct"/>
                  <w:tcBorders>
                    <w:bottom w:val="single" w:sz="4" w:space="0" w:color="auto"/>
                  </w:tcBorders>
                </w:tcPr>
                <w:p w14:paraId="16A42E70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06" w:type="pct"/>
                  <w:tcBorders>
                    <w:bottom w:val="single" w:sz="4" w:space="0" w:color="auto"/>
                  </w:tcBorders>
                </w:tcPr>
                <w:p w14:paraId="339635E9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155</w:t>
                  </w:r>
                </w:p>
              </w:tc>
              <w:tc>
                <w:tcPr>
                  <w:tcW w:w="1579" w:type="pct"/>
                  <w:tcBorders>
                    <w:bottom w:val="single" w:sz="4" w:space="0" w:color="auto"/>
                  </w:tcBorders>
                </w:tcPr>
                <w:p w14:paraId="249F0077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1 063</w:t>
                  </w:r>
                </w:p>
              </w:tc>
              <w:tc>
                <w:tcPr>
                  <w:tcW w:w="1579" w:type="pct"/>
                  <w:tcBorders>
                    <w:bottom w:val="single" w:sz="4" w:space="0" w:color="auto"/>
                  </w:tcBorders>
                </w:tcPr>
                <w:p w14:paraId="02E1A063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9,98</w:t>
                  </w:r>
                </w:p>
              </w:tc>
            </w:tr>
            <w:tr w:rsidR="00F5161E" w:rsidRPr="006D126A" w14:paraId="5716D0FA" w14:textId="77777777" w:rsidTr="00BC5D09">
              <w:trPr>
                <w:trHeight w:val="268"/>
              </w:trPr>
              <w:tc>
                <w:tcPr>
                  <w:tcW w:w="336" w:type="pct"/>
                  <w:tcBorders>
                    <w:bottom w:val="single" w:sz="4" w:space="0" w:color="auto"/>
                  </w:tcBorders>
                </w:tcPr>
                <w:p w14:paraId="41CC3970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06" w:type="pct"/>
                  <w:tcBorders>
                    <w:bottom w:val="single" w:sz="4" w:space="0" w:color="auto"/>
                  </w:tcBorders>
                </w:tcPr>
                <w:p w14:paraId="52C46636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165</w:t>
                  </w:r>
                </w:p>
              </w:tc>
              <w:tc>
                <w:tcPr>
                  <w:tcW w:w="1579" w:type="pct"/>
                  <w:tcBorders>
                    <w:bottom w:val="single" w:sz="4" w:space="0" w:color="auto"/>
                  </w:tcBorders>
                </w:tcPr>
                <w:p w14:paraId="53920E5E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1 068</w:t>
                  </w:r>
                </w:p>
              </w:tc>
              <w:tc>
                <w:tcPr>
                  <w:tcW w:w="1579" w:type="pct"/>
                  <w:tcBorders>
                    <w:bottom w:val="single" w:sz="4" w:space="0" w:color="auto"/>
                  </w:tcBorders>
                </w:tcPr>
                <w:p w14:paraId="253E0371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10,01</w:t>
                  </w:r>
                </w:p>
              </w:tc>
            </w:tr>
            <w:tr w:rsidR="00F5161E" w:rsidRPr="006D126A" w14:paraId="136EA8B4" w14:textId="77777777" w:rsidTr="00BC5D09">
              <w:trPr>
                <w:trHeight w:val="280"/>
              </w:trPr>
              <w:tc>
                <w:tcPr>
                  <w:tcW w:w="336" w:type="pct"/>
                  <w:tcBorders>
                    <w:bottom w:val="single" w:sz="4" w:space="0" w:color="auto"/>
                  </w:tcBorders>
                </w:tcPr>
                <w:p w14:paraId="215BF93D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06" w:type="pct"/>
                  <w:tcBorders>
                    <w:bottom w:val="single" w:sz="4" w:space="0" w:color="auto"/>
                  </w:tcBorders>
                </w:tcPr>
                <w:p w14:paraId="60755AA5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176</w:t>
                  </w:r>
                </w:p>
              </w:tc>
              <w:tc>
                <w:tcPr>
                  <w:tcW w:w="1579" w:type="pct"/>
                  <w:tcBorders>
                    <w:bottom w:val="single" w:sz="4" w:space="0" w:color="auto"/>
                  </w:tcBorders>
                </w:tcPr>
                <w:p w14:paraId="112362B5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1 073</w:t>
                  </w:r>
                </w:p>
              </w:tc>
              <w:tc>
                <w:tcPr>
                  <w:tcW w:w="1579" w:type="pct"/>
                  <w:tcBorders>
                    <w:bottom w:val="single" w:sz="4" w:space="0" w:color="auto"/>
                  </w:tcBorders>
                </w:tcPr>
                <w:p w14:paraId="158E6969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10,08</w:t>
                  </w:r>
                </w:p>
              </w:tc>
            </w:tr>
            <w:tr w:rsidR="00F5161E" w:rsidRPr="006D126A" w14:paraId="3E005B22" w14:textId="77777777" w:rsidTr="00BC5D09">
              <w:trPr>
                <w:trHeight w:val="280"/>
              </w:trPr>
              <w:tc>
                <w:tcPr>
                  <w:tcW w:w="336" w:type="pct"/>
                  <w:tcBorders>
                    <w:bottom w:val="single" w:sz="4" w:space="0" w:color="auto"/>
                  </w:tcBorders>
                </w:tcPr>
                <w:p w14:paraId="174AC6C7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06" w:type="pct"/>
                  <w:tcBorders>
                    <w:bottom w:val="single" w:sz="4" w:space="0" w:color="auto"/>
                  </w:tcBorders>
                </w:tcPr>
                <w:p w14:paraId="2AB87B6A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187</w:t>
                  </w:r>
                </w:p>
              </w:tc>
              <w:tc>
                <w:tcPr>
                  <w:tcW w:w="1579" w:type="pct"/>
                  <w:tcBorders>
                    <w:bottom w:val="single" w:sz="4" w:space="0" w:color="auto"/>
                  </w:tcBorders>
                </w:tcPr>
                <w:p w14:paraId="0263510D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1 078</w:t>
                  </w:r>
                </w:p>
              </w:tc>
              <w:tc>
                <w:tcPr>
                  <w:tcW w:w="1579" w:type="pct"/>
                  <w:tcBorders>
                    <w:bottom w:val="single" w:sz="4" w:space="0" w:color="auto"/>
                  </w:tcBorders>
                </w:tcPr>
                <w:p w14:paraId="37291466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10,11</w:t>
                  </w:r>
                </w:p>
              </w:tc>
            </w:tr>
            <w:tr w:rsidR="00F5161E" w:rsidRPr="006D126A" w14:paraId="302260B9" w14:textId="77777777" w:rsidTr="00BC5D09">
              <w:trPr>
                <w:trHeight w:val="280"/>
              </w:trPr>
              <w:tc>
                <w:tcPr>
                  <w:tcW w:w="336" w:type="pct"/>
                  <w:tcBorders>
                    <w:bottom w:val="single" w:sz="4" w:space="0" w:color="auto"/>
                  </w:tcBorders>
                </w:tcPr>
                <w:p w14:paraId="2EB4FC2C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06" w:type="pct"/>
                  <w:tcBorders>
                    <w:bottom w:val="single" w:sz="4" w:space="0" w:color="auto"/>
                  </w:tcBorders>
                </w:tcPr>
                <w:p w14:paraId="703AEF23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198</w:t>
                  </w:r>
                </w:p>
              </w:tc>
              <w:tc>
                <w:tcPr>
                  <w:tcW w:w="1579" w:type="pct"/>
                  <w:tcBorders>
                    <w:bottom w:val="single" w:sz="4" w:space="0" w:color="auto"/>
                  </w:tcBorders>
                </w:tcPr>
                <w:p w14:paraId="1FF4F2AD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1 083</w:t>
                  </w:r>
                </w:p>
              </w:tc>
              <w:tc>
                <w:tcPr>
                  <w:tcW w:w="1579" w:type="pct"/>
                  <w:tcBorders>
                    <w:bottom w:val="single" w:sz="4" w:space="0" w:color="auto"/>
                  </w:tcBorders>
                </w:tcPr>
                <w:p w14:paraId="130E8C20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10,17</w:t>
                  </w:r>
                </w:p>
              </w:tc>
            </w:tr>
            <w:tr w:rsidR="00F5161E" w:rsidRPr="006D126A" w14:paraId="63B2FE0E" w14:textId="77777777" w:rsidTr="00BC5D09">
              <w:trPr>
                <w:trHeight w:val="280"/>
              </w:trPr>
              <w:tc>
                <w:tcPr>
                  <w:tcW w:w="336" w:type="pct"/>
                  <w:tcBorders>
                    <w:bottom w:val="single" w:sz="4" w:space="0" w:color="auto"/>
                  </w:tcBorders>
                </w:tcPr>
                <w:p w14:paraId="31E55C6B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06" w:type="pct"/>
                  <w:tcBorders>
                    <w:bottom w:val="single" w:sz="4" w:space="0" w:color="auto"/>
                  </w:tcBorders>
                </w:tcPr>
                <w:p w14:paraId="47174C16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209</w:t>
                  </w:r>
                </w:p>
              </w:tc>
              <w:tc>
                <w:tcPr>
                  <w:tcW w:w="1579" w:type="pct"/>
                  <w:tcBorders>
                    <w:bottom w:val="single" w:sz="4" w:space="0" w:color="auto"/>
                  </w:tcBorders>
                </w:tcPr>
                <w:p w14:paraId="63CED250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1 088</w:t>
                  </w:r>
                </w:p>
              </w:tc>
              <w:tc>
                <w:tcPr>
                  <w:tcW w:w="1579" w:type="pct"/>
                  <w:tcBorders>
                    <w:bottom w:val="single" w:sz="4" w:space="0" w:color="auto"/>
                  </w:tcBorders>
                </w:tcPr>
                <w:p w14:paraId="10673D9A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10,20</w:t>
                  </w:r>
                </w:p>
              </w:tc>
            </w:tr>
            <w:tr w:rsidR="00F5161E" w:rsidRPr="006D126A" w14:paraId="60AF69F6" w14:textId="77777777" w:rsidTr="00BC5D09">
              <w:trPr>
                <w:trHeight w:val="280"/>
              </w:trPr>
              <w:tc>
                <w:tcPr>
                  <w:tcW w:w="336" w:type="pct"/>
                  <w:tcBorders>
                    <w:bottom w:val="single" w:sz="4" w:space="0" w:color="auto"/>
                  </w:tcBorders>
                </w:tcPr>
                <w:p w14:paraId="64C9595E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06" w:type="pct"/>
                  <w:tcBorders>
                    <w:bottom w:val="single" w:sz="4" w:space="0" w:color="auto"/>
                  </w:tcBorders>
                </w:tcPr>
                <w:p w14:paraId="1B7655C6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579" w:type="pct"/>
                  <w:tcBorders>
                    <w:bottom w:val="single" w:sz="4" w:space="0" w:color="auto"/>
                  </w:tcBorders>
                </w:tcPr>
                <w:p w14:paraId="25C5529D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1 093</w:t>
                  </w:r>
                </w:p>
              </w:tc>
              <w:tc>
                <w:tcPr>
                  <w:tcW w:w="1579" w:type="pct"/>
                  <w:tcBorders>
                    <w:bottom w:val="single" w:sz="4" w:space="0" w:color="auto"/>
                  </w:tcBorders>
                </w:tcPr>
                <w:p w14:paraId="1DFF2808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10,27</w:t>
                  </w:r>
                </w:p>
              </w:tc>
            </w:tr>
            <w:tr w:rsidR="00F5161E" w:rsidRPr="006D126A" w14:paraId="6DDFB240" w14:textId="77777777" w:rsidTr="00BC5D09">
              <w:trPr>
                <w:trHeight w:val="268"/>
              </w:trPr>
              <w:tc>
                <w:tcPr>
                  <w:tcW w:w="336" w:type="pct"/>
                  <w:tcBorders>
                    <w:bottom w:val="single" w:sz="4" w:space="0" w:color="auto"/>
                  </w:tcBorders>
                </w:tcPr>
                <w:p w14:paraId="4480DEE7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06" w:type="pct"/>
                  <w:tcBorders>
                    <w:bottom w:val="single" w:sz="4" w:space="0" w:color="auto"/>
                  </w:tcBorders>
                </w:tcPr>
                <w:p w14:paraId="1EF42A46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230</w:t>
                  </w:r>
                </w:p>
              </w:tc>
              <w:tc>
                <w:tcPr>
                  <w:tcW w:w="1579" w:type="pct"/>
                  <w:tcBorders>
                    <w:bottom w:val="single" w:sz="4" w:space="0" w:color="auto"/>
                  </w:tcBorders>
                </w:tcPr>
                <w:p w14:paraId="1806778E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1 098</w:t>
                  </w:r>
                </w:p>
              </w:tc>
              <w:tc>
                <w:tcPr>
                  <w:tcW w:w="1579" w:type="pct"/>
                  <w:tcBorders>
                    <w:bottom w:val="single" w:sz="4" w:space="0" w:color="auto"/>
                  </w:tcBorders>
                </w:tcPr>
                <w:p w14:paraId="4B2537EF" w14:textId="77777777" w:rsidR="00F5161E" w:rsidRPr="006D126A" w:rsidRDefault="00F5161E" w:rsidP="00F5161E">
                  <w:pPr>
                    <w:pStyle w:val="06TabeletxtpodstRaportWS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126A">
                    <w:rPr>
                      <w:rFonts w:ascii="Times New Roman" w:hAnsi="Times New Roman"/>
                      <w:sz w:val="22"/>
                      <w:szCs w:val="22"/>
                    </w:rPr>
                    <w:t>10,30</w:t>
                  </w:r>
                </w:p>
              </w:tc>
            </w:tr>
          </w:tbl>
          <w:p w14:paraId="01C79F23" w14:textId="77777777" w:rsidR="00F5161E" w:rsidRPr="006D126A" w:rsidRDefault="00F5161E" w:rsidP="00123450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D126A">
              <w:rPr>
                <w:rFonts w:ascii="Times New Roman" w:hAnsi="Times New Roman"/>
                <w:color w:val="000000" w:themeColor="text1"/>
              </w:rPr>
              <w:t xml:space="preserve">Przewiduje się, że koszty inkrementalne, w 10-letniej perspektywie wynosić będą około 9,89-10,30 mln </w:t>
            </w:r>
            <w:r>
              <w:rPr>
                <w:rFonts w:ascii="Times New Roman" w:hAnsi="Times New Roman"/>
                <w:color w:val="000000" w:themeColor="text1"/>
              </w:rPr>
              <w:t>zł</w:t>
            </w:r>
            <w:r w:rsidRPr="006D126A">
              <w:rPr>
                <w:rFonts w:ascii="Times New Roman" w:hAnsi="Times New Roman"/>
                <w:color w:val="000000" w:themeColor="text1"/>
              </w:rPr>
              <w:t xml:space="preserve"> rocznie. Precyzyjne oszacowanie wysokości środków, jakie należy zabezpieczyć na potrzeby finansowania świadczenia jest utrudnione ze względu na trudności w oszacowaniu populacji docelowej, liczby procedur przypadających na pacjenta oraz kosztu jednostkowego świadczenia.</w:t>
            </w:r>
          </w:p>
          <w:p w14:paraId="29F6A47F" w14:textId="25AC673A" w:rsidR="00F5161E" w:rsidRPr="00123450" w:rsidRDefault="00F5161E" w:rsidP="001234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D126A">
              <w:rPr>
                <w:rFonts w:ascii="Times New Roman" w:hAnsi="Times New Roman"/>
                <w:color w:val="000000" w:themeColor="text1"/>
              </w:rPr>
              <w:t xml:space="preserve">Jednocześnie, ze względu na aktualny brak produktów rozliczeniowych </w:t>
            </w:r>
            <w:r w:rsidR="00CD1DA8">
              <w:rPr>
                <w:rFonts w:ascii="Times New Roman" w:hAnsi="Times New Roman"/>
                <w:color w:val="000000" w:themeColor="text1"/>
              </w:rPr>
              <w:t xml:space="preserve">przeznaczonych </w:t>
            </w:r>
            <w:r w:rsidRPr="006D126A">
              <w:rPr>
                <w:rFonts w:ascii="Times New Roman" w:hAnsi="Times New Roman"/>
                <w:color w:val="000000" w:themeColor="text1"/>
              </w:rPr>
              <w:t>świadczeni</w:t>
            </w:r>
            <w:r w:rsidR="00CD1DA8">
              <w:rPr>
                <w:rFonts w:ascii="Times New Roman" w:hAnsi="Times New Roman"/>
                <w:color w:val="000000" w:themeColor="text1"/>
              </w:rPr>
              <w:t>u</w:t>
            </w:r>
            <w:r w:rsidRPr="006D126A">
              <w:rPr>
                <w:rFonts w:ascii="Times New Roman" w:hAnsi="Times New Roman"/>
                <w:color w:val="000000" w:themeColor="text1"/>
              </w:rPr>
              <w:t xml:space="preserve"> ECP u pacjentów z GvHD wskazuje się na zasadność taryfikacji aktualnych świadczeń </w:t>
            </w:r>
            <w:r w:rsidR="00CD1DA8">
              <w:rPr>
                <w:rFonts w:ascii="Times New Roman" w:hAnsi="Times New Roman"/>
                <w:color w:val="000000" w:themeColor="text1"/>
              </w:rPr>
              <w:t xml:space="preserve">przeznaczonych </w:t>
            </w:r>
            <w:r w:rsidRPr="006D126A">
              <w:rPr>
                <w:rFonts w:ascii="Times New Roman" w:hAnsi="Times New Roman"/>
                <w:color w:val="000000" w:themeColor="text1"/>
              </w:rPr>
              <w:t>leczeniu GvHD po uwzględnieniu fotoferezy lub wprowadzenie nowego produktu rozliczeniowego NFZ dla świadczenia ECP u pacjentów z GvHD.</w:t>
            </w:r>
          </w:p>
        </w:tc>
      </w:tr>
      <w:tr w:rsidR="00F5161E" w:rsidRPr="001E68F7" w14:paraId="23E9E312" w14:textId="77777777" w:rsidTr="00D16DD1">
        <w:trPr>
          <w:trHeight w:val="345"/>
        </w:trPr>
        <w:tc>
          <w:tcPr>
            <w:tcW w:w="11086" w:type="dxa"/>
            <w:gridSpan w:val="25"/>
            <w:shd w:val="clear" w:color="auto" w:fill="99CCFF"/>
          </w:tcPr>
          <w:p w14:paraId="17048834" w14:textId="77777777" w:rsidR="00F5161E" w:rsidRPr="001E68F7" w:rsidRDefault="00F5161E" w:rsidP="00F516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1E68F7">
              <w:rPr>
                <w:rFonts w:ascii="Times New Roman" w:eastAsia="Calibri" w:hAnsi="Times New Roman" w:cs="Times New Roman"/>
                <w:b/>
                <w:spacing w:val="-2"/>
              </w:rPr>
              <w:t xml:space="preserve">Wpływ na </w:t>
            </w:r>
            <w:r w:rsidRPr="001E68F7">
              <w:rPr>
                <w:rFonts w:ascii="Times New Roman" w:eastAsia="Calibri" w:hAnsi="Times New Roman" w:cs="Times New Roman"/>
                <w:b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F5161E" w:rsidRPr="001E68F7" w14:paraId="79959F7C" w14:textId="77777777" w:rsidTr="00D16DD1">
        <w:trPr>
          <w:trHeight w:val="142"/>
        </w:trPr>
        <w:tc>
          <w:tcPr>
            <w:tcW w:w="11086" w:type="dxa"/>
            <w:gridSpan w:val="25"/>
            <w:shd w:val="clear" w:color="auto" w:fill="FFFFFF"/>
          </w:tcPr>
          <w:p w14:paraId="5EB8FB82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68F7">
              <w:rPr>
                <w:rFonts w:ascii="Times New Roman" w:eastAsia="Calibri" w:hAnsi="Times New Roman" w:cs="Times New Roman"/>
                <w:spacing w:val="-2"/>
              </w:rPr>
              <w:t>Skutki</w:t>
            </w:r>
          </w:p>
        </w:tc>
      </w:tr>
      <w:tr w:rsidR="00F5161E" w:rsidRPr="001E68F7" w14:paraId="1457FF22" w14:textId="77777777" w:rsidTr="00C054B5">
        <w:trPr>
          <w:trHeight w:val="142"/>
        </w:trPr>
        <w:tc>
          <w:tcPr>
            <w:tcW w:w="3874" w:type="dxa"/>
            <w:gridSpan w:val="7"/>
            <w:shd w:val="clear" w:color="auto" w:fill="FFFFFF"/>
            <w:vAlign w:val="center"/>
          </w:tcPr>
          <w:p w14:paraId="7C146283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Czas w latach od wejścia w życie zmian</w:t>
            </w:r>
          </w:p>
        </w:tc>
        <w:tc>
          <w:tcPr>
            <w:tcW w:w="933" w:type="dxa"/>
            <w:gridSpan w:val="2"/>
            <w:shd w:val="clear" w:color="auto" w:fill="FFFFFF"/>
            <w:vAlign w:val="center"/>
          </w:tcPr>
          <w:p w14:paraId="35142F35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shd w:val="clear" w:color="auto" w:fill="FFFFFF"/>
            <w:vAlign w:val="center"/>
          </w:tcPr>
          <w:p w14:paraId="6263C238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5" w:type="dxa"/>
            <w:gridSpan w:val="4"/>
            <w:shd w:val="clear" w:color="auto" w:fill="FFFFFF"/>
            <w:vAlign w:val="center"/>
          </w:tcPr>
          <w:p w14:paraId="281EC080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33" w:type="dxa"/>
            <w:gridSpan w:val="3"/>
            <w:shd w:val="clear" w:color="auto" w:fill="FFFFFF"/>
            <w:vAlign w:val="center"/>
          </w:tcPr>
          <w:p w14:paraId="3ECBC664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35" w:type="dxa"/>
            <w:gridSpan w:val="3"/>
            <w:shd w:val="clear" w:color="auto" w:fill="FFFFFF"/>
            <w:vAlign w:val="center"/>
          </w:tcPr>
          <w:p w14:paraId="2A86C6A4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4" w:type="dxa"/>
            <w:gridSpan w:val="2"/>
            <w:shd w:val="clear" w:color="auto" w:fill="FFFFFF"/>
            <w:vAlign w:val="center"/>
          </w:tcPr>
          <w:p w14:paraId="0F7F5307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603" w:type="dxa"/>
            <w:gridSpan w:val="2"/>
            <w:shd w:val="clear" w:color="auto" w:fill="FFFFFF"/>
            <w:vAlign w:val="center"/>
          </w:tcPr>
          <w:p w14:paraId="22A0F808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pacing w:val="-2"/>
              </w:rPr>
            </w:pPr>
            <w:r w:rsidRPr="001E68F7">
              <w:rPr>
                <w:rFonts w:ascii="Times New Roman" w:eastAsia="Calibri" w:hAnsi="Times New Roman" w:cs="Times New Roman"/>
                <w:i/>
                <w:spacing w:val="-2"/>
              </w:rPr>
              <w:t>Łącznie</w:t>
            </w:r>
            <w:r w:rsidRPr="001E68F7" w:rsidDel="0073273A">
              <w:rPr>
                <w:rFonts w:ascii="Times New Roman" w:eastAsia="Calibri" w:hAnsi="Times New Roman" w:cs="Times New Roman"/>
                <w:i/>
                <w:spacing w:val="-2"/>
              </w:rPr>
              <w:t xml:space="preserve"> </w:t>
            </w:r>
            <w:r w:rsidRPr="001E68F7">
              <w:rPr>
                <w:rFonts w:ascii="Times New Roman" w:eastAsia="Calibri" w:hAnsi="Times New Roman" w:cs="Times New Roman"/>
                <w:i/>
                <w:spacing w:val="-2"/>
              </w:rPr>
              <w:t>(0-10)</w:t>
            </w:r>
          </w:p>
        </w:tc>
      </w:tr>
      <w:tr w:rsidR="00F5161E" w:rsidRPr="001E68F7" w14:paraId="3E7D9E57" w14:textId="77777777" w:rsidTr="00C054B5">
        <w:trPr>
          <w:trHeight w:val="142"/>
        </w:trPr>
        <w:tc>
          <w:tcPr>
            <w:tcW w:w="1590" w:type="dxa"/>
            <w:vMerge w:val="restart"/>
            <w:shd w:val="clear" w:color="auto" w:fill="FFFFFF"/>
            <w:vAlign w:val="center"/>
          </w:tcPr>
          <w:p w14:paraId="0EE385FC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lastRenderedPageBreak/>
              <w:t>W ujęciu pieniężnym</w:t>
            </w:r>
          </w:p>
          <w:p w14:paraId="4997C4BA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68F7">
              <w:rPr>
                <w:rFonts w:ascii="Times New Roman" w:eastAsia="Calibri" w:hAnsi="Times New Roman" w:cs="Times New Roman"/>
                <w:spacing w:val="-2"/>
              </w:rPr>
              <w:t>(w mln zł,</w:t>
            </w:r>
          </w:p>
          <w:p w14:paraId="5E62E58A" w14:textId="5C070659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  <w:spacing w:val="-2"/>
              </w:rPr>
              <w:t xml:space="preserve">ceny stałe z </w:t>
            </w:r>
            <w:r>
              <w:rPr>
                <w:rFonts w:ascii="Times New Roman" w:eastAsia="Calibri" w:hAnsi="Times New Roman" w:cs="Times New Roman"/>
                <w:spacing w:val="-2"/>
              </w:rPr>
              <w:t>……</w:t>
            </w:r>
            <w:r w:rsidRPr="001E68F7">
              <w:rPr>
                <w:rFonts w:ascii="Times New Roman" w:eastAsia="Calibri" w:hAnsi="Times New Roman" w:cs="Times New Roman"/>
                <w:spacing w:val="-2"/>
              </w:rPr>
              <w:t xml:space="preserve"> r.)</w:t>
            </w:r>
          </w:p>
        </w:tc>
        <w:tc>
          <w:tcPr>
            <w:tcW w:w="2284" w:type="dxa"/>
            <w:gridSpan w:val="6"/>
            <w:shd w:val="clear" w:color="auto" w:fill="FFFFFF"/>
            <w:vAlign w:val="center"/>
          </w:tcPr>
          <w:p w14:paraId="130CD466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duże przedsiębiorstwa</w:t>
            </w:r>
          </w:p>
        </w:tc>
        <w:tc>
          <w:tcPr>
            <w:tcW w:w="933" w:type="dxa"/>
            <w:gridSpan w:val="2"/>
            <w:shd w:val="clear" w:color="auto" w:fill="FFFFFF"/>
            <w:vAlign w:val="center"/>
          </w:tcPr>
          <w:p w14:paraId="6E3D0ACB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shd w:val="clear" w:color="auto" w:fill="FFFFFF"/>
            <w:vAlign w:val="center"/>
          </w:tcPr>
          <w:p w14:paraId="36D4015D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5" w:type="dxa"/>
            <w:gridSpan w:val="4"/>
            <w:shd w:val="clear" w:color="auto" w:fill="FFFFFF"/>
            <w:vAlign w:val="center"/>
          </w:tcPr>
          <w:p w14:paraId="7E450ABF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3" w:type="dxa"/>
            <w:gridSpan w:val="3"/>
            <w:shd w:val="clear" w:color="auto" w:fill="FFFFFF"/>
            <w:vAlign w:val="center"/>
          </w:tcPr>
          <w:p w14:paraId="39BA49E8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5" w:type="dxa"/>
            <w:gridSpan w:val="3"/>
            <w:shd w:val="clear" w:color="auto" w:fill="FFFFFF"/>
            <w:vAlign w:val="center"/>
          </w:tcPr>
          <w:p w14:paraId="3AB22153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4" w:type="dxa"/>
            <w:gridSpan w:val="2"/>
            <w:shd w:val="clear" w:color="auto" w:fill="FFFFFF"/>
            <w:vAlign w:val="center"/>
          </w:tcPr>
          <w:p w14:paraId="5EB53109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03" w:type="dxa"/>
            <w:gridSpan w:val="2"/>
            <w:shd w:val="clear" w:color="auto" w:fill="FFFFFF"/>
            <w:vAlign w:val="center"/>
          </w:tcPr>
          <w:p w14:paraId="682715D6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68F7">
              <w:rPr>
                <w:rFonts w:ascii="Times New Roman" w:eastAsia="Calibri" w:hAnsi="Times New Roman" w:cs="Times New Roman"/>
                <w:spacing w:val="-2"/>
              </w:rPr>
              <w:t>0</w:t>
            </w:r>
          </w:p>
        </w:tc>
      </w:tr>
      <w:tr w:rsidR="00F5161E" w:rsidRPr="001E68F7" w14:paraId="01CBC348" w14:textId="77777777" w:rsidTr="00C054B5">
        <w:trPr>
          <w:trHeight w:val="142"/>
        </w:trPr>
        <w:tc>
          <w:tcPr>
            <w:tcW w:w="1590" w:type="dxa"/>
            <w:vMerge/>
            <w:shd w:val="clear" w:color="auto" w:fill="FFFFFF"/>
            <w:vAlign w:val="center"/>
          </w:tcPr>
          <w:p w14:paraId="74304326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4" w:type="dxa"/>
            <w:gridSpan w:val="6"/>
            <w:shd w:val="clear" w:color="auto" w:fill="FFFFFF"/>
            <w:vAlign w:val="center"/>
          </w:tcPr>
          <w:p w14:paraId="7A8CF6F2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sektor mikro-, małych i średnich przedsiębiorstw</w:t>
            </w:r>
          </w:p>
        </w:tc>
        <w:tc>
          <w:tcPr>
            <w:tcW w:w="933" w:type="dxa"/>
            <w:gridSpan w:val="2"/>
            <w:shd w:val="clear" w:color="auto" w:fill="FFFFFF"/>
            <w:vAlign w:val="center"/>
          </w:tcPr>
          <w:p w14:paraId="0CEAA2B8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shd w:val="clear" w:color="auto" w:fill="FFFFFF"/>
            <w:vAlign w:val="center"/>
          </w:tcPr>
          <w:p w14:paraId="2071299D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5" w:type="dxa"/>
            <w:gridSpan w:val="4"/>
            <w:shd w:val="clear" w:color="auto" w:fill="FFFFFF"/>
            <w:vAlign w:val="center"/>
          </w:tcPr>
          <w:p w14:paraId="30562B6D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3" w:type="dxa"/>
            <w:gridSpan w:val="3"/>
            <w:shd w:val="clear" w:color="auto" w:fill="FFFFFF"/>
            <w:vAlign w:val="center"/>
          </w:tcPr>
          <w:p w14:paraId="74CCC1B2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5" w:type="dxa"/>
            <w:gridSpan w:val="3"/>
            <w:shd w:val="clear" w:color="auto" w:fill="FFFFFF"/>
            <w:vAlign w:val="center"/>
          </w:tcPr>
          <w:p w14:paraId="6E2FC658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4" w:type="dxa"/>
            <w:gridSpan w:val="2"/>
            <w:shd w:val="clear" w:color="auto" w:fill="FFFFFF"/>
            <w:vAlign w:val="center"/>
          </w:tcPr>
          <w:p w14:paraId="39D90166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03" w:type="dxa"/>
            <w:gridSpan w:val="2"/>
            <w:shd w:val="clear" w:color="auto" w:fill="FFFFFF"/>
            <w:vAlign w:val="center"/>
          </w:tcPr>
          <w:p w14:paraId="55178164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68F7">
              <w:rPr>
                <w:rFonts w:ascii="Times New Roman" w:eastAsia="Calibri" w:hAnsi="Times New Roman" w:cs="Times New Roman"/>
                <w:spacing w:val="-2"/>
              </w:rPr>
              <w:t>0</w:t>
            </w:r>
          </w:p>
        </w:tc>
      </w:tr>
      <w:tr w:rsidR="00F5161E" w:rsidRPr="001E68F7" w14:paraId="50568788" w14:textId="77777777" w:rsidTr="00C054B5">
        <w:trPr>
          <w:trHeight w:val="142"/>
        </w:trPr>
        <w:tc>
          <w:tcPr>
            <w:tcW w:w="1590" w:type="dxa"/>
            <w:vMerge/>
            <w:shd w:val="clear" w:color="auto" w:fill="FFFFFF"/>
            <w:vAlign w:val="center"/>
          </w:tcPr>
          <w:p w14:paraId="010F4E7E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4" w:type="dxa"/>
            <w:gridSpan w:val="6"/>
            <w:shd w:val="clear" w:color="auto" w:fill="FFFFFF"/>
            <w:vAlign w:val="center"/>
          </w:tcPr>
          <w:p w14:paraId="4342E721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rodzina, obywatele oraz gospodarstwa domowe</w:t>
            </w:r>
          </w:p>
        </w:tc>
        <w:tc>
          <w:tcPr>
            <w:tcW w:w="933" w:type="dxa"/>
            <w:gridSpan w:val="2"/>
            <w:shd w:val="clear" w:color="auto" w:fill="FFFFFF"/>
            <w:vAlign w:val="center"/>
          </w:tcPr>
          <w:p w14:paraId="78A9C607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shd w:val="clear" w:color="auto" w:fill="FFFFFF"/>
            <w:vAlign w:val="center"/>
          </w:tcPr>
          <w:p w14:paraId="241F00F7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5" w:type="dxa"/>
            <w:gridSpan w:val="4"/>
            <w:shd w:val="clear" w:color="auto" w:fill="FFFFFF"/>
            <w:vAlign w:val="center"/>
          </w:tcPr>
          <w:p w14:paraId="5474D879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3" w:type="dxa"/>
            <w:gridSpan w:val="3"/>
            <w:shd w:val="clear" w:color="auto" w:fill="FFFFFF"/>
            <w:vAlign w:val="center"/>
          </w:tcPr>
          <w:p w14:paraId="21A18482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5" w:type="dxa"/>
            <w:gridSpan w:val="3"/>
            <w:shd w:val="clear" w:color="auto" w:fill="FFFFFF"/>
            <w:vAlign w:val="center"/>
          </w:tcPr>
          <w:p w14:paraId="4C652DF1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4" w:type="dxa"/>
            <w:gridSpan w:val="2"/>
            <w:shd w:val="clear" w:color="auto" w:fill="FFFFFF"/>
            <w:vAlign w:val="center"/>
          </w:tcPr>
          <w:p w14:paraId="60A051A9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03" w:type="dxa"/>
            <w:gridSpan w:val="2"/>
            <w:shd w:val="clear" w:color="auto" w:fill="FFFFFF"/>
            <w:vAlign w:val="center"/>
          </w:tcPr>
          <w:p w14:paraId="0169BBCE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68F7">
              <w:rPr>
                <w:rFonts w:ascii="Times New Roman" w:eastAsia="Calibri" w:hAnsi="Times New Roman" w:cs="Times New Roman"/>
                <w:spacing w:val="-2"/>
              </w:rPr>
              <w:t>0</w:t>
            </w:r>
          </w:p>
        </w:tc>
      </w:tr>
      <w:tr w:rsidR="00F5161E" w:rsidRPr="001E68F7" w14:paraId="2988773A" w14:textId="77777777" w:rsidTr="00C054B5">
        <w:trPr>
          <w:trHeight w:val="142"/>
        </w:trPr>
        <w:tc>
          <w:tcPr>
            <w:tcW w:w="1590" w:type="dxa"/>
            <w:vMerge/>
            <w:shd w:val="clear" w:color="auto" w:fill="FFFFFF"/>
            <w:vAlign w:val="center"/>
          </w:tcPr>
          <w:p w14:paraId="229A4101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4" w:type="dxa"/>
            <w:gridSpan w:val="6"/>
            <w:shd w:val="clear" w:color="auto" w:fill="FFFFFF"/>
            <w:vAlign w:val="center"/>
          </w:tcPr>
          <w:p w14:paraId="12BC8514" w14:textId="7925BEAC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dxa"/>
            <w:gridSpan w:val="2"/>
            <w:shd w:val="clear" w:color="auto" w:fill="FFFFFF"/>
            <w:vAlign w:val="center"/>
          </w:tcPr>
          <w:p w14:paraId="654A0F34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shd w:val="clear" w:color="auto" w:fill="FFFFFF"/>
            <w:vAlign w:val="center"/>
          </w:tcPr>
          <w:p w14:paraId="65362DE8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5" w:type="dxa"/>
            <w:gridSpan w:val="4"/>
            <w:shd w:val="clear" w:color="auto" w:fill="FFFFFF"/>
            <w:vAlign w:val="center"/>
          </w:tcPr>
          <w:p w14:paraId="6A8C0C53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3" w:type="dxa"/>
            <w:gridSpan w:val="3"/>
            <w:shd w:val="clear" w:color="auto" w:fill="FFFFFF"/>
            <w:vAlign w:val="center"/>
          </w:tcPr>
          <w:p w14:paraId="19C1AD56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5" w:type="dxa"/>
            <w:gridSpan w:val="3"/>
            <w:shd w:val="clear" w:color="auto" w:fill="FFFFFF"/>
            <w:vAlign w:val="center"/>
          </w:tcPr>
          <w:p w14:paraId="36238646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34" w:type="dxa"/>
            <w:gridSpan w:val="2"/>
            <w:shd w:val="clear" w:color="auto" w:fill="FFFFFF"/>
            <w:vAlign w:val="center"/>
          </w:tcPr>
          <w:p w14:paraId="0BE2F098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03" w:type="dxa"/>
            <w:gridSpan w:val="2"/>
            <w:shd w:val="clear" w:color="auto" w:fill="FFFFFF"/>
            <w:vAlign w:val="center"/>
          </w:tcPr>
          <w:p w14:paraId="1C349D6F" w14:textId="77777777" w:rsidR="00F5161E" w:rsidRPr="001E68F7" w:rsidRDefault="00F5161E" w:rsidP="00F51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68F7">
              <w:rPr>
                <w:rFonts w:ascii="Times New Roman" w:eastAsia="Calibri" w:hAnsi="Times New Roman" w:cs="Times New Roman"/>
                <w:spacing w:val="-2"/>
              </w:rPr>
              <w:t>0</w:t>
            </w:r>
          </w:p>
        </w:tc>
      </w:tr>
      <w:tr w:rsidR="00F5161E" w:rsidRPr="001E68F7" w14:paraId="4FC35139" w14:textId="77777777" w:rsidTr="00C054B5">
        <w:trPr>
          <w:trHeight w:val="142"/>
        </w:trPr>
        <w:tc>
          <w:tcPr>
            <w:tcW w:w="1590" w:type="dxa"/>
            <w:vMerge w:val="restart"/>
            <w:shd w:val="clear" w:color="auto" w:fill="FFFFFF"/>
          </w:tcPr>
          <w:p w14:paraId="7352C5FB" w14:textId="77777777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W ujęciu niepieniężnym</w:t>
            </w:r>
          </w:p>
        </w:tc>
        <w:tc>
          <w:tcPr>
            <w:tcW w:w="2284" w:type="dxa"/>
            <w:gridSpan w:val="6"/>
            <w:shd w:val="clear" w:color="auto" w:fill="FFFFFF"/>
          </w:tcPr>
          <w:p w14:paraId="49822D30" w14:textId="77777777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duże przedsiębiorstwa</w:t>
            </w:r>
          </w:p>
        </w:tc>
        <w:tc>
          <w:tcPr>
            <w:tcW w:w="7212" w:type="dxa"/>
            <w:gridSpan w:val="18"/>
            <w:shd w:val="clear" w:color="auto" w:fill="FFFFFF"/>
          </w:tcPr>
          <w:p w14:paraId="220C5FC8" w14:textId="3C39053C" w:rsidR="00F5161E" w:rsidRPr="00D527A0" w:rsidRDefault="00F5161E" w:rsidP="00F516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  <w:spacing w:val="-2"/>
                <w:szCs w:val="21"/>
              </w:rPr>
            </w:pPr>
            <w:r w:rsidRPr="00D527A0">
              <w:rPr>
                <w:rFonts w:ascii="Times New Roman" w:hAnsi="Times New Roman" w:cs="Times New Roman"/>
                <w:spacing w:val="-2"/>
                <w:szCs w:val="21"/>
              </w:rPr>
              <w:t>Projekt rozporządzeni</w:t>
            </w:r>
            <w:r>
              <w:rPr>
                <w:rFonts w:ascii="Times New Roman" w:hAnsi="Times New Roman" w:cs="Times New Roman"/>
                <w:spacing w:val="-2"/>
                <w:szCs w:val="21"/>
              </w:rPr>
              <w:t>a</w:t>
            </w:r>
            <w:r w:rsidRPr="00D527A0">
              <w:rPr>
                <w:rFonts w:ascii="Times New Roman" w:hAnsi="Times New Roman" w:cs="Times New Roman"/>
                <w:spacing w:val="-2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nie ma wpływu na działalność dużych przedsiębiorstw. </w:t>
            </w:r>
            <w:r w:rsidRPr="00D527A0">
              <w:rPr>
                <w:rFonts w:ascii="Times New Roman" w:hAnsi="Times New Roman" w:cs="Times New Roman"/>
                <w:spacing w:val="-2"/>
                <w:szCs w:val="21"/>
              </w:rPr>
              <w:t xml:space="preserve">   </w:t>
            </w:r>
          </w:p>
        </w:tc>
      </w:tr>
      <w:tr w:rsidR="00F5161E" w:rsidRPr="001E68F7" w14:paraId="33C3405A" w14:textId="77777777" w:rsidTr="00C054B5">
        <w:trPr>
          <w:trHeight w:val="142"/>
        </w:trPr>
        <w:tc>
          <w:tcPr>
            <w:tcW w:w="1590" w:type="dxa"/>
            <w:vMerge/>
            <w:shd w:val="clear" w:color="auto" w:fill="FFFFFF"/>
          </w:tcPr>
          <w:p w14:paraId="130FE22F" w14:textId="77777777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4" w:type="dxa"/>
            <w:gridSpan w:val="6"/>
            <w:shd w:val="clear" w:color="auto" w:fill="FFFFFF"/>
          </w:tcPr>
          <w:p w14:paraId="6364DCD2" w14:textId="77777777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sektor mikro-, małych i średnich przedsiębiorstw</w:t>
            </w:r>
          </w:p>
        </w:tc>
        <w:tc>
          <w:tcPr>
            <w:tcW w:w="7212" w:type="dxa"/>
            <w:gridSpan w:val="18"/>
            <w:shd w:val="clear" w:color="auto" w:fill="FFFFFF"/>
          </w:tcPr>
          <w:p w14:paraId="2F784386" w14:textId="7BB07EC1" w:rsidR="00F5161E" w:rsidRPr="00D527A0" w:rsidRDefault="00F5161E" w:rsidP="00F516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  <w:spacing w:val="-2"/>
                <w:szCs w:val="21"/>
              </w:rPr>
            </w:pPr>
            <w:r w:rsidRPr="00D527A0">
              <w:rPr>
                <w:rFonts w:ascii="Times New Roman" w:hAnsi="Times New Roman" w:cs="Times New Roman"/>
                <w:spacing w:val="-2"/>
                <w:szCs w:val="21"/>
              </w:rPr>
              <w:t>Projekt rozporządzeni</w:t>
            </w:r>
            <w:r>
              <w:rPr>
                <w:rFonts w:ascii="Times New Roman" w:hAnsi="Times New Roman" w:cs="Times New Roman"/>
                <w:spacing w:val="-2"/>
                <w:szCs w:val="21"/>
              </w:rPr>
              <w:t>a</w:t>
            </w:r>
            <w:r w:rsidRPr="00D527A0">
              <w:rPr>
                <w:rFonts w:ascii="Times New Roman" w:hAnsi="Times New Roman" w:cs="Times New Roman"/>
                <w:spacing w:val="-2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nie ma wpływu na działalność mikro-, małych i średnich przedsiębiorstw. </w:t>
            </w:r>
          </w:p>
        </w:tc>
      </w:tr>
      <w:tr w:rsidR="00F5161E" w:rsidRPr="001E68F7" w14:paraId="4FE21793" w14:textId="77777777" w:rsidTr="00C054B5">
        <w:trPr>
          <w:trHeight w:val="596"/>
        </w:trPr>
        <w:tc>
          <w:tcPr>
            <w:tcW w:w="1590" w:type="dxa"/>
            <w:vMerge/>
            <w:shd w:val="clear" w:color="auto" w:fill="FFFFFF"/>
          </w:tcPr>
          <w:p w14:paraId="648879E9" w14:textId="77777777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4" w:type="dxa"/>
            <w:gridSpan w:val="6"/>
            <w:shd w:val="clear" w:color="auto" w:fill="FFFFFF"/>
          </w:tcPr>
          <w:p w14:paraId="62B9C8D8" w14:textId="77777777" w:rsidR="00F5161E" w:rsidRPr="001E68F7" w:rsidRDefault="00F5161E" w:rsidP="00F5161E">
            <w:pPr>
              <w:tabs>
                <w:tab w:val="right" w:pos="193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 xml:space="preserve">rodzina, obywatele oraz gospodarstwa domowe </w:t>
            </w:r>
          </w:p>
        </w:tc>
        <w:tc>
          <w:tcPr>
            <w:tcW w:w="7212" w:type="dxa"/>
            <w:gridSpan w:val="18"/>
            <w:shd w:val="clear" w:color="auto" w:fill="FFFFFF"/>
          </w:tcPr>
          <w:p w14:paraId="3206F497" w14:textId="722E6359" w:rsidR="00F5161E" w:rsidRPr="00D527A0" w:rsidRDefault="00F5161E" w:rsidP="00F516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DC3">
              <w:rPr>
                <w:rFonts w:ascii="Times New Roman" w:hAnsi="Times New Roman" w:cs="Times New Roman"/>
              </w:rPr>
              <w:t>Projekt rozporządzenia będzie miał pozytywny wpływ na rodziny, obywateli i</w:t>
            </w:r>
            <w:r>
              <w:rPr>
                <w:rFonts w:ascii="Times New Roman" w:hAnsi="Times New Roman" w:cs="Times New Roman"/>
              </w:rPr>
              <w:t> </w:t>
            </w:r>
            <w:r w:rsidRPr="00F53DC3">
              <w:rPr>
                <w:rFonts w:ascii="Times New Roman" w:hAnsi="Times New Roman" w:cs="Times New Roman"/>
              </w:rPr>
              <w:t xml:space="preserve">gospodarstwa domowe przez </w:t>
            </w:r>
            <w:r w:rsidRPr="00F5161E">
              <w:rPr>
                <w:rFonts w:ascii="Times New Roman" w:hAnsi="Times New Roman" w:cs="Times New Roman"/>
              </w:rPr>
              <w:t>poprawę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161E">
              <w:rPr>
                <w:rFonts w:ascii="Times New Roman" w:hAnsi="Times New Roman" w:cs="Times New Roman"/>
              </w:rPr>
              <w:t>opieki i dostępności do procedur terapeutycznych u pacjentów po przeszczepie</w:t>
            </w:r>
            <w:r w:rsidRPr="00F53DC3">
              <w:rPr>
                <w:rFonts w:ascii="Times New Roman" w:hAnsi="Times New Roman" w:cs="Times New Roman"/>
              </w:rPr>
              <w:t>.</w:t>
            </w:r>
          </w:p>
        </w:tc>
      </w:tr>
      <w:tr w:rsidR="00F5161E" w:rsidRPr="001E68F7" w14:paraId="3BD9100A" w14:textId="77777777" w:rsidTr="00C054B5">
        <w:trPr>
          <w:trHeight w:val="596"/>
        </w:trPr>
        <w:tc>
          <w:tcPr>
            <w:tcW w:w="1590" w:type="dxa"/>
            <w:vMerge/>
            <w:shd w:val="clear" w:color="auto" w:fill="FFFFFF"/>
          </w:tcPr>
          <w:p w14:paraId="2FAF50A0" w14:textId="77777777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4" w:type="dxa"/>
            <w:gridSpan w:val="6"/>
            <w:shd w:val="clear" w:color="auto" w:fill="FFFFFF"/>
          </w:tcPr>
          <w:p w14:paraId="73B4C504" w14:textId="2B4021D0" w:rsidR="00F5161E" w:rsidRPr="001E68F7" w:rsidRDefault="00F5161E" w:rsidP="00F5161E">
            <w:pPr>
              <w:tabs>
                <w:tab w:val="right" w:pos="193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2962">
              <w:rPr>
                <w:rFonts w:ascii="Times New Roman" w:eastAsia="Calibri" w:hAnsi="Times New Roman" w:cs="Times New Roman"/>
              </w:rPr>
              <w:t>osob</w:t>
            </w:r>
            <w:r>
              <w:rPr>
                <w:rFonts w:ascii="Times New Roman" w:eastAsia="Calibri" w:hAnsi="Times New Roman" w:cs="Times New Roman"/>
              </w:rPr>
              <w:t>y</w:t>
            </w:r>
            <w:r w:rsidRPr="00CD2962">
              <w:rPr>
                <w:rFonts w:ascii="Times New Roman" w:eastAsia="Calibri" w:hAnsi="Times New Roman" w:cs="Times New Roman"/>
              </w:rPr>
              <w:t xml:space="preserve"> niepełnosprawn</w:t>
            </w:r>
            <w:r>
              <w:rPr>
                <w:rFonts w:ascii="Times New Roman" w:eastAsia="Calibri" w:hAnsi="Times New Roman" w:cs="Times New Roman"/>
              </w:rPr>
              <w:t>e</w:t>
            </w:r>
            <w:r w:rsidRPr="00CD2962">
              <w:rPr>
                <w:rFonts w:ascii="Times New Roman" w:eastAsia="Calibri" w:hAnsi="Times New Roman" w:cs="Times New Roman"/>
              </w:rPr>
              <w:t xml:space="preserve"> i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CD2962">
              <w:rPr>
                <w:rFonts w:ascii="Times New Roman" w:eastAsia="Calibri" w:hAnsi="Times New Roman" w:cs="Times New Roman"/>
              </w:rPr>
              <w:t>osob</w:t>
            </w:r>
            <w:r>
              <w:rPr>
                <w:rFonts w:ascii="Times New Roman" w:eastAsia="Calibri" w:hAnsi="Times New Roman" w:cs="Times New Roman"/>
              </w:rPr>
              <w:t>y</w:t>
            </w:r>
            <w:r w:rsidRPr="00CD2962">
              <w:rPr>
                <w:rFonts w:ascii="Times New Roman" w:eastAsia="Calibri" w:hAnsi="Times New Roman" w:cs="Times New Roman"/>
              </w:rPr>
              <w:t xml:space="preserve"> starsz</w:t>
            </w:r>
            <w:r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7212" w:type="dxa"/>
            <w:gridSpan w:val="18"/>
            <w:shd w:val="clear" w:color="auto" w:fill="FFFFFF"/>
          </w:tcPr>
          <w:p w14:paraId="78F721D0" w14:textId="3779DB37" w:rsidR="00F5161E" w:rsidRPr="00D527A0" w:rsidRDefault="00F5161E" w:rsidP="00F5161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D527A0">
              <w:rPr>
                <w:rFonts w:ascii="Times New Roman" w:hAnsi="Times New Roman" w:cs="Times New Roman"/>
                <w:spacing w:val="-2"/>
                <w:szCs w:val="21"/>
              </w:rPr>
              <w:t>Przedmiotowa regulacja zapewni osobom</w:t>
            </w:r>
            <w:r>
              <w:rPr>
                <w:rFonts w:ascii="Times New Roman" w:hAnsi="Times New Roman" w:cs="Times New Roman"/>
                <w:spacing w:val="-2"/>
                <w:szCs w:val="21"/>
              </w:rPr>
              <w:t xml:space="preserve"> starszym oraz osobom</w:t>
            </w:r>
            <w:r w:rsidRPr="00D527A0">
              <w:rPr>
                <w:rFonts w:ascii="Times New Roman" w:hAnsi="Times New Roman" w:cs="Times New Roman"/>
                <w:spacing w:val="-2"/>
                <w:szCs w:val="21"/>
              </w:rPr>
              <w:t xml:space="preserve"> niepełnosprawny</w:t>
            </w:r>
            <w:r>
              <w:rPr>
                <w:rFonts w:ascii="Times New Roman" w:hAnsi="Times New Roman" w:cs="Times New Roman"/>
                <w:spacing w:val="-2"/>
                <w:szCs w:val="21"/>
              </w:rPr>
              <w:t xml:space="preserve">m </w:t>
            </w:r>
            <w:r w:rsidRPr="00EE42FA">
              <w:rPr>
                <w:rFonts w:ascii="Times New Roman" w:hAnsi="Times New Roman" w:cs="Times New Roman"/>
                <w:spacing w:val="-2"/>
                <w:szCs w:val="21"/>
              </w:rPr>
              <w:t>dostęp do świadcze</w:t>
            </w:r>
            <w:r>
              <w:rPr>
                <w:rFonts w:ascii="Times New Roman" w:hAnsi="Times New Roman" w:cs="Times New Roman"/>
                <w:spacing w:val="-2"/>
                <w:szCs w:val="21"/>
              </w:rPr>
              <w:t>nia</w:t>
            </w:r>
            <w:r w:rsidRPr="00EE42FA">
              <w:rPr>
                <w:rFonts w:ascii="Times New Roman" w:hAnsi="Times New Roman" w:cs="Times New Roman"/>
                <w:spacing w:val="-2"/>
                <w:szCs w:val="21"/>
              </w:rPr>
              <w:t xml:space="preserve"> </w:t>
            </w:r>
            <w:r w:rsidRPr="00D527A0">
              <w:rPr>
                <w:rFonts w:ascii="Times New Roman" w:hAnsi="Times New Roman" w:cs="Times New Roman"/>
                <w:spacing w:val="-2"/>
                <w:szCs w:val="21"/>
              </w:rPr>
              <w:t>na zasadach identycznych jak w</w:t>
            </w:r>
            <w:r>
              <w:rPr>
                <w:rFonts w:ascii="Times New Roman" w:hAnsi="Times New Roman" w:cs="Times New Roman"/>
                <w:spacing w:val="-2"/>
                <w:szCs w:val="21"/>
              </w:rPr>
              <w:t> </w:t>
            </w:r>
            <w:r w:rsidRPr="00D527A0">
              <w:rPr>
                <w:rFonts w:ascii="Times New Roman" w:hAnsi="Times New Roman" w:cs="Times New Roman"/>
                <w:spacing w:val="-2"/>
                <w:szCs w:val="21"/>
              </w:rPr>
              <w:t>przypadku pozostałych obywateli.</w:t>
            </w:r>
          </w:p>
        </w:tc>
      </w:tr>
      <w:tr w:rsidR="00F5161E" w:rsidRPr="001E68F7" w14:paraId="2E7C2326" w14:textId="77777777" w:rsidTr="00C054B5">
        <w:trPr>
          <w:trHeight w:val="142"/>
        </w:trPr>
        <w:tc>
          <w:tcPr>
            <w:tcW w:w="1590" w:type="dxa"/>
            <w:shd w:val="clear" w:color="auto" w:fill="FFFFFF"/>
          </w:tcPr>
          <w:p w14:paraId="114923A1" w14:textId="77777777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>Niemierzalne</w:t>
            </w:r>
          </w:p>
        </w:tc>
        <w:tc>
          <w:tcPr>
            <w:tcW w:w="2284" w:type="dxa"/>
            <w:gridSpan w:val="6"/>
            <w:shd w:val="clear" w:color="auto" w:fill="FFFFFF"/>
          </w:tcPr>
          <w:p w14:paraId="3DE8A2B7" w14:textId="50FF5E94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12" w:type="dxa"/>
            <w:gridSpan w:val="18"/>
            <w:shd w:val="clear" w:color="auto" w:fill="FFFFFF"/>
          </w:tcPr>
          <w:p w14:paraId="20B72E69" w14:textId="77777777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1E68F7">
              <w:rPr>
                <w:rFonts w:ascii="Times New Roman" w:eastAsia="Calibri" w:hAnsi="Times New Roman" w:cs="Times New Roman"/>
                <w:spacing w:val="-2"/>
              </w:rPr>
              <w:t>-</w:t>
            </w:r>
          </w:p>
        </w:tc>
      </w:tr>
      <w:tr w:rsidR="00F5161E" w:rsidRPr="001E68F7" w14:paraId="16825A31" w14:textId="77777777" w:rsidTr="00C054B5">
        <w:trPr>
          <w:trHeight w:val="1364"/>
        </w:trPr>
        <w:tc>
          <w:tcPr>
            <w:tcW w:w="1590" w:type="dxa"/>
            <w:shd w:val="clear" w:color="auto" w:fill="FFFFFF"/>
          </w:tcPr>
          <w:p w14:paraId="2DD1CD2A" w14:textId="77777777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8F7">
              <w:rPr>
                <w:rFonts w:ascii="Times New Roman" w:eastAsia="Calibri" w:hAnsi="Times New Roman" w:cs="Times New Roman"/>
              </w:rPr>
              <w:t xml:space="preserve">Dodatkowe informacje, w tym wskazanie źródeł danych i przyjętych do obliczeń założeń </w:t>
            </w:r>
          </w:p>
        </w:tc>
        <w:tc>
          <w:tcPr>
            <w:tcW w:w="9496" w:type="dxa"/>
            <w:gridSpan w:val="24"/>
            <w:shd w:val="clear" w:color="auto" w:fill="FFFFFF"/>
            <w:vAlign w:val="center"/>
          </w:tcPr>
          <w:p w14:paraId="604D5996" w14:textId="6E7998B8" w:rsidR="007607C6" w:rsidRPr="006D126A" w:rsidRDefault="007607C6" w:rsidP="0012345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D126A">
              <w:rPr>
                <w:rFonts w:ascii="Times New Roman" w:hAnsi="Times New Roman"/>
                <w:color w:val="000000" w:themeColor="text1"/>
              </w:rPr>
              <w:t>Na podstawie danych historyczn</w:t>
            </w:r>
            <w:r>
              <w:rPr>
                <w:rFonts w:ascii="Times New Roman" w:hAnsi="Times New Roman"/>
                <w:color w:val="000000" w:themeColor="text1"/>
              </w:rPr>
              <w:t>ych</w:t>
            </w:r>
            <w:r w:rsidRPr="006D126A">
              <w:rPr>
                <w:rFonts w:ascii="Times New Roman" w:hAnsi="Times New Roman"/>
                <w:color w:val="000000" w:themeColor="text1"/>
              </w:rPr>
              <w:t xml:space="preserve"> M</w:t>
            </w:r>
            <w:r>
              <w:rPr>
                <w:rFonts w:ascii="Times New Roman" w:hAnsi="Times New Roman"/>
                <w:color w:val="000000" w:themeColor="text1"/>
              </w:rPr>
              <w:t xml:space="preserve">inisterstwa </w:t>
            </w:r>
            <w:r w:rsidRPr="006D126A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drowia</w:t>
            </w:r>
            <w:r w:rsidRPr="006D126A">
              <w:rPr>
                <w:rFonts w:ascii="Times New Roman" w:hAnsi="Times New Roman"/>
                <w:color w:val="000000" w:themeColor="text1"/>
              </w:rPr>
              <w:t xml:space="preserve"> dotycząc</w:t>
            </w:r>
            <w:r>
              <w:rPr>
                <w:rFonts w:ascii="Times New Roman" w:hAnsi="Times New Roman"/>
                <w:color w:val="000000" w:themeColor="text1"/>
              </w:rPr>
              <w:t>ych</w:t>
            </w:r>
            <w:r w:rsidRPr="006D126A">
              <w:rPr>
                <w:rFonts w:ascii="Times New Roman" w:hAnsi="Times New Roman"/>
                <w:color w:val="000000" w:themeColor="text1"/>
              </w:rPr>
              <w:t xml:space="preserve"> realizacji Narodowego Programu Medycyny Transplantacyjnej, w oparciu o opinie ekspertów klinicznych</w:t>
            </w:r>
            <w:r w:rsidR="0031136D">
              <w:rPr>
                <w:rFonts w:ascii="Times New Roman" w:hAnsi="Times New Roman"/>
                <w:color w:val="000000" w:themeColor="text1"/>
              </w:rPr>
              <w:t>,</w:t>
            </w:r>
            <w:r w:rsidRPr="006D126A">
              <w:rPr>
                <w:rFonts w:ascii="Times New Roman" w:hAnsi="Times New Roman"/>
                <w:color w:val="000000" w:themeColor="text1"/>
              </w:rPr>
              <w:t xml:space="preserve"> a także danych sprawozdawczych ośrodków realizujących tę procedurę, wskazać można, że:</w:t>
            </w:r>
          </w:p>
          <w:p w14:paraId="1272B253" w14:textId="77777777" w:rsidR="007607C6" w:rsidRPr="006D126A" w:rsidRDefault="007607C6" w:rsidP="00123450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1) </w:t>
            </w:r>
            <w:r w:rsidRPr="006D126A">
              <w:rPr>
                <w:rFonts w:ascii="Times New Roman" w:hAnsi="Times New Roman"/>
                <w:color w:val="000000" w:themeColor="text1"/>
              </w:rPr>
              <w:t>procedurze fotoferezy będzie poddawanych około 150 pacjentów rocznie (z tendencją wzrostową roczną ok. 5%), u których średnio realizowanych będzie po 10 procedur;</w:t>
            </w:r>
          </w:p>
          <w:p w14:paraId="64B88991" w14:textId="552FE408" w:rsidR="00F5161E" w:rsidRPr="001E68F7" w:rsidRDefault="007607C6" w:rsidP="0012345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2) </w:t>
            </w:r>
            <w:r w:rsidRPr="006D126A">
              <w:rPr>
                <w:rFonts w:ascii="Times New Roman" w:hAnsi="Times New Roman"/>
                <w:color w:val="000000" w:themeColor="text1"/>
              </w:rPr>
              <w:t>szacuje się realizację u około 13 świadczeniodawców (z możliwym wzrostem w kolejnych latach).</w:t>
            </w:r>
          </w:p>
        </w:tc>
      </w:tr>
      <w:tr w:rsidR="00F5161E" w:rsidRPr="001E68F7" w14:paraId="7C390287" w14:textId="77777777" w:rsidTr="00D16DD1">
        <w:trPr>
          <w:trHeight w:val="342"/>
        </w:trPr>
        <w:tc>
          <w:tcPr>
            <w:tcW w:w="11086" w:type="dxa"/>
            <w:gridSpan w:val="25"/>
            <w:shd w:val="clear" w:color="auto" w:fill="99CCFF"/>
            <w:vAlign w:val="center"/>
          </w:tcPr>
          <w:p w14:paraId="21CACD77" w14:textId="11CC88F3" w:rsidR="00F5161E" w:rsidRPr="001E68F7" w:rsidRDefault="00F5161E" w:rsidP="00F5161E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F5161E" w:rsidRPr="001E68F7" w14:paraId="00EB11DD" w14:textId="77777777" w:rsidTr="00D16DD1">
        <w:trPr>
          <w:trHeight w:val="151"/>
        </w:trPr>
        <w:tc>
          <w:tcPr>
            <w:tcW w:w="11086" w:type="dxa"/>
            <w:gridSpan w:val="25"/>
            <w:shd w:val="clear" w:color="auto" w:fill="FFFFFF"/>
          </w:tcPr>
          <w:p w14:paraId="3222ED01" w14:textId="53880C88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1A5FDA">
              <w:rPr>
                <w:rFonts w:ascii="Times New Roman" w:hAnsi="Times New Roman"/>
                <w:color w:val="000000"/>
              </w:rPr>
              <w:t xml:space="preserve"> </w:t>
            </w:r>
            <w:r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F5161E" w:rsidRPr="001E68F7" w14:paraId="63CC26BC" w14:textId="77777777" w:rsidTr="00C054B5">
        <w:trPr>
          <w:trHeight w:val="737"/>
        </w:trPr>
        <w:tc>
          <w:tcPr>
            <w:tcW w:w="5091" w:type="dxa"/>
            <w:gridSpan w:val="10"/>
            <w:shd w:val="clear" w:color="auto" w:fill="FFFFFF"/>
          </w:tcPr>
          <w:p w14:paraId="5518FE3C" w14:textId="09D3DF02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995" w:type="dxa"/>
            <w:gridSpan w:val="15"/>
            <w:shd w:val="clear" w:color="auto" w:fill="FFFFFF"/>
          </w:tcPr>
          <w:p w14:paraId="62AD9DD5" w14:textId="77777777" w:rsidR="00F5161E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398CF256" w14:textId="77777777" w:rsidR="00F5161E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100D2835" w14:textId="6DE84806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F5161E" w:rsidRPr="001E68F7" w14:paraId="783EB7D7" w14:textId="77777777" w:rsidTr="00C054B5">
        <w:trPr>
          <w:trHeight w:val="737"/>
        </w:trPr>
        <w:tc>
          <w:tcPr>
            <w:tcW w:w="5091" w:type="dxa"/>
            <w:gridSpan w:val="10"/>
            <w:shd w:val="clear" w:color="auto" w:fill="FFFFFF"/>
          </w:tcPr>
          <w:p w14:paraId="44E00481" w14:textId="77777777" w:rsidR="00F5161E" w:rsidRPr="008B4FE6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61199224" w14:textId="77777777" w:rsidR="00F5161E" w:rsidRPr="008B4FE6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2D0861A5" w14:textId="77777777" w:rsidR="00F5161E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2AA0C2D9" w14:textId="3596C65E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995" w:type="dxa"/>
            <w:gridSpan w:val="15"/>
            <w:shd w:val="clear" w:color="auto" w:fill="FFFFFF"/>
          </w:tcPr>
          <w:p w14:paraId="0E5EA31B" w14:textId="77777777" w:rsidR="00F5161E" w:rsidRPr="008B4FE6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5FA40378" w14:textId="77777777" w:rsidR="00F5161E" w:rsidRPr="008B4FE6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3226096E" w14:textId="77777777" w:rsidR="00F5161E" w:rsidRPr="008B4FE6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0C2EBE14" w14:textId="7E083FCC" w:rsidR="00F5161E" w:rsidRPr="00B46A52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F5161E" w:rsidRPr="001E68F7" w14:paraId="300FC22D" w14:textId="77777777" w:rsidTr="00C054B5">
        <w:trPr>
          <w:trHeight w:val="737"/>
        </w:trPr>
        <w:tc>
          <w:tcPr>
            <w:tcW w:w="5091" w:type="dxa"/>
            <w:gridSpan w:val="10"/>
            <w:shd w:val="clear" w:color="auto" w:fill="FFFFFF"/>
          </w:tcPr>
          <w:p w14:paraId="191FA440" w14:textId="017BD03E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995" w:type="dxa"/>
            <w:gridSpan w:val="15"/>
            <w:shd w:val="clear" w:color="auto" w:fill="FFFFFF"/>
          </w:tcPr>
          <w:p w14:paraId="7925606D" w14:textId="77777777" w:rsidR="00F5161E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29F14040" w14:textId="77777777" w:rsidR="00F5161E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5BA04F51" w14:textId="031FFD87" w:rsidR="00F5161E" w:rsidRPr="00B46A52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F5161E" w:rsidRPr="001E68F7" w14:paraId="71C10221" w14:textId="77777777" w:rsidTr="00D16DD1">
        <w:trPr>
          <w:trHeight w:val="320"/>
        </w:trPr>
        <w:tc>
          <w:tcPr>
            <w:tcW w:w="11086" w:type="dxa"/>
            <w:gridSpan w:val="25"/>
            <w:shd w:val="clear" w:color="auto" w:fill="FFFFFF"/>
          </w:tcPr>
          <w:p w14:paraId="6798F377" w14:textId="4B830490" w:rsidR="00F5161E" w:rsidRPr="001E68F7" w:rsidRDefault="00F5161E" w:rsidP="00F5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Komentarz: Brak</w:t>
            </w:r>
          </w:p>
        </w:tc>
      </w:tr>
      <w:tr w:rsidR="00F5161E" w:rsidRPr="001E68F7" w14:paraId="67B7A37A" w14:textId="77777777" w:rsidTr="00D16DD1">
        <w:trPr>
          <w:trHeight w:val="142"/>
        </w:trPr>
        <w:tc>
          <w:tcPr>
            <w:tcW w:w="11086" w:type="dxa"/>
            <w:gridSpan w:val="25"/>
            <w:shd w:val="clear" w:color="auto" w:fill="99CCFF"/>
          </w:tcPr>
          <w:p w14:paraId="147BAD64" w14:textId="4B058FBF" w:rsidR="00F5161E" w:rsidRPr="001E68F7" w:rsidRDefault="00F5161E" w:rsidP="00F516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F5161E" w:rsidRPr="001E68F7" w14:paraId="368C4DB1" w14:textId="77777777" w:rsidTr="00727606">
        <w:trPr>
          <w:trHeight w:val="311"/>
        </w:trPr>
        <w:tc>
          <w:tcPr>
            <w:tcW w:w="11086" w:type="dxa"/>
            <w:gridSpan w:val="25"/>
            <w:shd w:val="clear" w:color="auto" w:fill="auto"/>
          </w:tcPr>
          <w:p w14:paraId="0B076A79" w14:textId="27EEA120" w:rsidR="00F5161E" w:rsidRPr="001E68F7" w:rsidRDefault="00F5161E" w:rsidP="00F5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Brak wpływu na rynek pracy. </w:t>
            </w:r>
          </w:p>
        </w:tc>
      </w:tr>
      <w:tr w:rsidR="00F5161E" w:rsidRPr="001E68F7" w14:paraId="2DA1603E" w14:textId="77777777" w:rsidTr="00D16DD1">
        <w:trPr>
          <w:trHeight w:val="142"/>
        </w:trPr>
        <w:tc>
          <w:tcPr>
            <w:tcW w:w="11086" w:type="dxa"/>
            <w:gridSpan w:val="25"/>
            <w:shd w:val="clear" w:color="auto" w:fill="99CCFF"/>
          </w:tcPr>
          <w:p w14:paraId="3F8D5FCF" w14:textId="6601BF78" w:rsidR="00F5161E" w:rsidRPr="001E68F7" w:rsidRDefault="00F5161E" w:rsidP="00F516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F5161E" w:rsidRPr="001E68F7" w14:paraId="4E066891" w14:textId="77777777" w:rsidTr="00C054B5">
        <w:trPr>
          <w:trHeight w:val="737"/>
        </w:trPr>
        <w:tc>
          <w:tcPr>
            <w:tcW w:w="3533" w:type="dxa"/>
            <w:gridSpan w:val="5"/>
            <w:shd w:val="clear" w:color="auto" w:fill="FFFFFF"/>
          </w:tcPr>
          <w:p w14:paraId="1B445E30" w14:textId="77777777" w:rsidR="00F5161E" w:rsidRPr="008B4FE6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28DE20CB" w14:textId="77777777" w:rsidR="00F5161E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460270EE" w14:textId="6C9CDEEA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highlight w:val="yellow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3C2B">
              <w:rPr>
                <w:rFonts w:ascii="Times New Roman" w:hAnsi="Times New Roman"/>
                <w:spacing w:val="-2"/>
              </w:rPr>
              <w:t>sądy powszechne, administracyjne lub wojskowe</w:t>
            </w:r>
          </w:p>
        </w:tc>
        <w:tc>
          <w:tcPr>
            <w:tcW w:w="3674" w:type="dxa"/>
            <w:gridSpan w:val="12"/>
            <w:shd w:val="clear" w:color="auto" w:fill="FFFFFF"/>
          </w:tcPr>
          <w:p w14:paraId="25B7E55B" w14:textId="77777777" w:rsidR="00F5161E" w:rsidRPr="008B4FE6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1AE6A236" w14:textId="77777777" w:rsidR="00F5161E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  <w:p w14:paraId="02F8CA83" w14:textId="1CE9B667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879" w:type="dxa"/>
            <w:gridSpan w:val="8"/>
            <w:shd w:val="clear" w:color="auto" w:fill="FFFFFF"/>
          </w:tcPr>
          <w:p w14:paraId="1C5C93E9" w14:textId="77777777" w:rsidR="00F5161E" w:rsidRDefault="00F5161E" w:rsidP="00F5161E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7AF61812" w14:textId="632CF5A2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F5161E" w:rsidRPr="001E68F7" w14:paraId="3F337F36" w14:textId="77777777" w:rsidTr="00C054B5">
        <w:trPr>
          <w:trHeight w:val="712"/>
        </w:trPr>
        <w:tc>
          <w:tcPr>
            <w:tcW w:w="1590" w:type="dxa"/>
            <w:shd w:val="clear" w:color="auto" w:fill="FFFFFF"/>
            <w:vAlign w:val="center"/>
          </w:tcPr>
          <w:p w14:paraId="66E67098" w14:textId="49F90B45" w:rsidR="00F5161E" w:rsidRPr="001E68F7" w:rsidRDefault="00F5161E" w:rsidP="00F516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9496" w:type="dxa"/>
            <w:gridSpan w:val="24"/>
            <w:shd w:val="clear" w:color="auto" w:fill="FFFFFF"/>
            <w:vAlign w:val="center"/>
          </w:tcPr>
          <w:p w14:paraId="317A62F8" w14:textId="68597173" w:rsidR="00F5161E" w:rsidRPr="001E68F7" w:rsidRDefault="00F5161E" w:rsidP="00F5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B30">
              <w:rPr>
                <w:rFonts w:ascii="Times New Roman" w:eastAsia="Calibri" w:hAnsi="Times New Roman" w:cs="Times New Roman"/>
              </w:rPr>
              <w:t xml:space="preserve">Projekt rozporządzenia wprowadza rozwiązania, które pozytywnie wpłyną na zdrowie świadczeniobiorców </w:t>
            </w:r>
            <w:r w:rsidR="007607C6">
              <w:rPr>
                <w:rFonts w:ascii="Times New Roman" w:eastAsia="Calibri" w:hAnsi="Times New Roman" w:cs="Times New Roman"/>
              </w:rPr>
              <w:t xml:space="preserve">po przeszczepie </w:t>
            </w:r>
            <w:r w:rsidRPr="00875B30">
              <w:rPr>
                <w:rFonts w:ascii="Times New Roman" w:eastAsia="Calibri" w:hAnsi="Times New Roman" w:cs="Times New Roman"/>
              </w:rPr>
              <w:t xml:space="preserve">przez </w:t>
            </w:r>
            <w:r w:rsidR="007607C6">
              <w:rPr>
                <w:rFonts w:ascii="Times New Roman" w:eastAsia="Calibri" w:hAnsi="Times New Roman" w:cs="Times New Roman"/>
              </w:rPr>
              <w:t>wprowadzenie stałego</w:t>
            </w:r>
            <w:r w:rsidRPr="00875B30">
              <w:rPr>
                <w:rFonts w:ascii="Times New Roman" w:eastAsia="Calibri" w:hAnsi="Times New Roman" w:cs="Times New Roman"/>
              </w:rPr>
              <w:t xml:space="preserve"> dostęp</w:t>
            </w:r>
            <w:r w:rsidR="007607C6">
              <w:rPr>
                <w:rFonts w:ascii="Times New Roman" w:eastAsia="Calibri" w:hAnsi="Times New Roman" w:cs="Times New Roman"/>
              </w:rPr>
              <w:t>u</w:t>
            </w:r>
            <w:r w:rsidRPr="00875B30">
              <w:rPr>
                <w:rFonts w:ascii="Times New Roman" w:eastAsia="Calibri" w:hAnsi="Times New Roman" w:cs="Times New Roman"/>
              </w:rPr>
              <w:t xml:space="preserve"> do </w:t>
            </w:r>
            <w:r w:rsidR="007607C6">
              <w:rPr>
                <w:rFonts w:ascii="Times New Roman" w:eastAsia="Calibri" w:hAnsi="Times New Roman" w:cs="Times New Roman"/>
              </w:rPr>
              <w:t>skutecznej klinicznie i bezpiecznej terapii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5161E" w:rsidRPr="001E68F7" w14:paraId="7480695A" w14:textId="77777777" w:rsidTr="00D16DD1">
        <w:trPr>
          <w:trHeight w:val="142"/>
        </w:trPr>
        <w:tc>
          <w:tcPr>
            <w:tcW w:w="11086" w:type="dxa"/>
            <w:gridSpan w:val="25"/>
            <w:shd w:val="clear" w:color="auto" w:fill="99CCFF"/>
          </w:tcPr>
          <w:p w14:paraId="35A42085" w14:textId="2DBB5B0D" w:rsidR="00F5161E" w:rsidRPr="001E68F7" w:rsidRDefault="00F5161E" w:rsidP="00F5161E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F5161E" w:rsidRPr="001E68F7" w14:paraId="5BD14771" w14:textId="77777777" w:rsidTr="00727606">
        <w:trPr>
          <w:trHeight w:val="246"/>
        </w:trPr>
        <w:tc>
          <w:tcPr>
            <w:tcW w:w="11086" w:type="dxa"/>
            <w:gridSpan w:val="25"/>
            <w:shd w:val="clear" w:color="auto" w:fill="FFFFFF"/>
          </w:tcPr>
          <w:p w14:paraId="7DCA7AAD" w14:textId="5D227F65" w:rsidR="00F5161E" w:rsidRPr="001E68F7" w:rsidRDefault="00F5161E" w:rsidP="00F5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68F7">
              <w:rPr>
                <w:rFonts w:ascii="Times New Roman" w:eastAsia="Times New Roman" w:hAnsi="Times New Roman" w:cs="Times New Roman"/>
                <w:lang w:eastAsia="pl-PL"/>
              </w:rPr>
              <w:t xml:space="preserve">Planowany termin wejścia w życie rozporządzenia </w:t>
            </w:r>
            <w:r w:rsidRPr="009D7AB7">
              <w:rPr>
                <w:rFonts w:ascii="Times New Roman" w:eastAsia="Times New Roman" w:hAnsi="Times New Roman" w:cs="Times New Roman"/>
                <w:lang w:eastAsia="pl-PL"/>
              </w:rPr>
              <w:t xml:space="preserve">to </w:t>
            </w:r>
            <w:r w:rsidR="00357848">
              <w:rPr>
                <w:rFonts w:ascii="Times New Roman" w:eastAsia="Times New Roman" w:hAnsi="Times New Roman" w:cs="Times New Roman"/>
                <w:lang w:eastAsia="pl-PL"/>
              </w:rPr>
              <w:t xml:space="preserve">dzień </w:t>
            </w:r>
            <w:r w:rsidR="007607C6">
              <w:rPr>
                <w:rFonts w:ascii="Times New Roman" w:eastAsia="Times New Roman" w:hAnsi="Times New Roman" w:cs="Times New Roman"/>
                <w:lang w:eastAsia="pl-PL"/>
              </w:rPr>
              <w:t>1 stycznia 2025 r</w:t>
            </w:r>
            <w:r w:rsidRPr="009D7AB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F5161E" w:rsidRPr="001E68F7" w14:paraId="732FDAB4" w14:textId="77777777" w:rsidTr="00D16DD1">
        <w:trPr>
          <w:trHeight w:val="142"/>
        </w:trPr>
        <w:tc>
          <w:tcPr>
            <w:tcW w:w="11086" w:type="dxa"/>
            <w:gridSpan w:val="25"/>
            <w:shd w:val="clear" w:color="auto" w:fill="99CCFF"/>
          </w:tcPr>
          <w:p w14:paraId="06AE98FD" w14:textId="6E86716C" w:rsidR="00F5161E" w:rsidRPr="001E68F7" w:rsidRDefault="00F5161E" w:rsidP="00F5161E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F5161E" w:rsidRPr="001E68F7" w14:paraId="4E5D35DF" w14:textId="77777777" w:rsidTr="00E2311C">
        <w:trPr>
          <w:trHeight w:val="203"/>
        </w:trPr>
        <w:tc>
          <w:tcPr>
            <w:tcW w:w="11086" w:type="dxa"/>
            <w:gridSpan w:val="25"/>
            <w:shd w:val="clear" w:color="auto" w:fill="FFFFFF"/>
          </w:tcPr>
          <w:p w14:paraId="385FCD8C" w14:textId="2298BC4E" w:rsidR="00F5161E" w:rsidRPr="001E68F7" w:rsidRDefault="00F5161E" w:rsidP="00F51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 xml:space="preserve">Nie jest planowana ewaluacja. </w:t>
            </w:r>
          </w:p>
        </w:tc>
      </w:tr>
      <w:tr w:rsidR="00F5161E" w:rsidRPr="001E68F7" w14:paraId="3B892C30" w14:textId="77777777" w:rsidTr="00D16DD1">
        <w:trPr>
          <w:trHeight w:val="142"/>
        </w:trPr>
        <w:tc>
          <w:tcPr>
            <w:tcW w:w="11086" w:type="dxa"/>
            <w:gridSpan w:val="25"/>
            <w:shd w:val="clear" w:color="auto" w:fill="99CCFF"/>
          </w:tcPr>
          <w:p w14:paraId="68E886D3" w14:textId="24E9BC42" w:rsidR="00F5161E" w:rsidRPr="001E68F7" w:rsidRDefault="00F5161E" w:rsidP="00F5161E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F5161E" w:rsidRPr="001E68F7" w14:paraId="40D83B7F" w14:textId="77777777" w:rsidTr="00D16DD1">
        <w:trPr>
          <w:trHeight w:val="209"/>
        </w:trPr>
        <w:tc>
          <w:tcPr>
            <w:tcW w:w="11086" w:type="dxa"/>
            <w:gridSpan w:val="25"/>
            <w:shd w:val="clear" w:color="auto" w:fill="FFFFFF"/>
          </w:tcPr>
          <w:p w14:paraId="1FADB578" w14:textId="77777777" w:rsidR="00172499" w:rsidRDefault="00172499" w:rsidP="00172499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17249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62C7" w:rsidRPr="00172499">
              <w:rPr>
                <w:rFonts w:ascii="Times New Roman" w:hAnsi="Times New Roman" w:cs="Times New Roman"/>
              </w:rPr>
              <w:t>Rekomendacja nr 71/2013 z dnia 24 czerwca 2013 r. Prezesa</w:t>
            </w:r>
            <w:r w:rsidRPr="00172499">
              <w:rPr>
                <w:rFonts w:ascii="Times New Roman" w:hAnsi="Times New Roman" w:cs="Times New Roman"/>
              </w:rPr>
              <w:t xml:space="preserve"> Agencji Oceny Technologii Medycznych w sprawie zakwalifikowania świadczenia opieki zdrowotnej „leczenie ostrej lub przewlekłej choroby przeszczep przeciwko </w:t>
            </w:r>
            <w:r w:rsidRPr="00172499">
              <w:rPr>
                <w:rFonts w:ascii="Times New Roman" w:hAnsi="Times New Roman" w:cs="Times New Roman"/>
              </w:rPr>
              <w:lastRenderedPageBreak/>
              <w:t>gospodarzowi (GvHD) opornej na kortykosteroidy z wykorzystaniem fotoferezy pozaustrojowej (ECP)”, jako świadczenia gwarantowanego do realizacji w zakresie leczenia szpitalnego</w:t>
            </w:r>
          </w:p>
          <w:p w14:paraId="1870F79F" w14:textId="2E85F8B3" w:rsidR="00172499" w:rsidRPr="00172499" w:rsidRDefault="00172499" w:rsidP="00F63001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63001" w:rsidRPr="00F63001">
              <w:rPr>
                <w:rFonts w:ascii="Times New Roman" w:hAnsi="Times New Roman" w:cs="Times New Roman"/>
              </w:rPr>
              <w:t>Opracowanie analityczne w zakresie oceny skutków regulacji projektu rozporządzenia uwzględniającego nowe świadczenie gwarantowane:</w:t>
            </w:r>
            <w:r w:rsidR="00F63001">
              <w:rPr>
                <w:rFonts w:ascii="Times New Roman" w:hAnsi="Times New Roman" w:cs="Times New Roman"/>
              </w:rPr>
              <w:t xml:space="preserve"> </w:t>
            </w:r>
            <w:r w:rsidR="00F63001" w:rsidRPr="00F63001">
              <w:rPr>
                <w:rFonts w:ascii="Times New Roman" w:hAnsi="Times New Roman" w:cs="Times New Roman"/>
              </w:rPr>
              <w:t>„Leczenie ostrej lub przewlekłej choroby przeszczep przeciwko gospodarzowi (GvHD) opornej na kortykosteroidy z wykorzystaniem fotoferezy pozaustrojowej (ECP)”</w:t>
            </w:r>
            <w:r w:rsidR="00F63001">
              <w:rPr>
                <w:rFonts w:ascii="Times New Roman" w:hAnsi="Times New Roman" w:cs="Times New Roman"/>
              </w:rPr>
              <w:t>, n</w:t>
            </w:r>
            <w:r w:rsidR="00F63001" w:rsidRPr="00F63001">
              <w:rPr>
                <w:rFonts w:ascii="Times New Roman" w:hAnsi="Times New Roman" w:cs="Times New Roman"/>
              </w:rPr>
              <w:t>r: WS.422.27.2023</w:t>
            </w:r>
            <w:r w:rsidR="00F63001">
              <w:rPr>
                <w:rFonts w:ascii="Times New Roman" w:hAnsi="Times New Roman" w:cs="Times New Roman"/>
              </w:rPr>
              <w:t>, d</w:t>
            </w:r>
            <w:r w:rsidR="00F63001" w:rsidRPr="00F63001">
              <w:rPr>
                <w:rFonts w:ascii="Times New Roman" w:hAnsi="Times New Roman" w:cs="Times New Roman"/>
              </w:rPr>
              <w:t>ata ukończenia: 29</w:t>
            </w:r>
            <w:r w:rsidR="00F63001">
              <w:rPr>
                <w:rFonts w:ascii="Times New Roman" w:hAnsi="Times New Roman" w:cs="Times New Roman"/>
              </w:rPr>
              <w:t xml:space="preserve"> listopada </w:t>
            </w:r>
            <w:r w:rsidR="00F63001" w:rsidRPr="00F63001">
              <w:rPr>
                <w:rFonts w:ascii="Times New Roman" w:hAnsi="Times New Roman" w:cs="Times New Roman"/>
              </w:rPr>
              <w:t>2023 r.</w:t>
            </w:r>
          </w:p>
        </w:tc>
      </w:tr>
    </w:tbl>
    <w:p w14:paraId="426F3B79" w14:textId="77777777" w:rsidR="00FD25F0" w:rsidRPr="001E68F7" w:rsidRDefault="00FD25F0" w:rsidP="006B23E6">
      <w:pPr>
        <w:spacing w:after="0" w:line="240" w:lineRule="auto"/>
        <w:rPr>
          <w:rFonts w:ascii="Times New Roman" w:hAnsi="Times New Roman" w:cs="Times New Roman"/>
        </w:rPr>
      </w:pPr>
    </w:p>
    <w:p w14:paraId="40495D9C" w14:textId="77777777" w:rsidR="002D7CBF" w:rsidRPr="001E68F7" w:rsidRDefault="002D7CBF" w:rsidP="00BC7371">
      <w:pPr>
        <w:spacing w:after="0" w:line="240" w:lineRule="auto"/>
      </w:pPr>
    </w:p>
    <w:sectPr w:rsidR="002D7CBF" w:rsidRPr="001E68F7" w:rsidSect="002D7CBF">
      <w:pgSz w:w="11906" w:h="16838"/>
      <w:pgMar w:top="284" w:right="707" w:bottom="568" w:left="720" w:header="708" w:footer="2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03E085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1AB2B4F"/>
    <w:multiLevelType w:val="hybridMultilevel"/>
    <w:tmpl w:val="8224F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72429"/>
    <w:multiLevelType w:val="hybridMultilevel"/>
    <w:tmpl w:val="FC40CA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324EF"/>
    <w:multiLevelType w:val="hybridMultilevel"/>
    <w:tmpl w:val="40CAC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E5EE1"/>
    <w:multiLevelType w:val="hybridMultilevel"/>
    <w:tmpl w:val="416AD552"/>
    <w:lvl w:ilvl="0" w:tplc="7F44E3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22CE"/>
    <w:multiLevelType w:val="hybridMultilevel"/>
    <w:tmpl w:val="F266B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F0763"/>
    <w:multiLevelType w:val="hybridMultilevel"/>
    <w:tmpl w:val="3BD609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911A1"/>
    <w:multiLevelType w:val="hybridMultilevel"/>
    <w:tmpl w:val="22D23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142D"/>
    <w:multiLevelType w:val="hybridMultilevel"/>
    <w:tmpl w:val="50044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45C8A"/>
    <w:multiLevelType w:val="hybridMultilevel"/>
    <w:tmpl w:val="A28C4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5501"/>
    <w:multiLevelType w:val="hybridMultilevel"/>
    <w:tmpl w:val="FC40CA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862FA"/>
    <w:multiLevelType w:val="hybridMultilevel"/>
    <w:tmpl w:val="FC40CA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0046CBB6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FE605D8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2" w:tplc="4D7CF262">
      <w:start w:val="1"/>
      <w:numFmt w:val="decimal"/>
      <w:lvlText w:val="%3)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C522D"/>
    <w:multiLevelType w:val="hybridMultilevel"/>
    <w:tmpl w:val="A4746AE8"/>
    <w:lvl w:ilvl="0" w:tplc="7F44E3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C37CC"/>
    <w:multiLevelType w:val="hybridMultilevel"/>
    <w:tmpl w:val="3B12935A"/>
    <w:lvl w:ilvl="0" w:tplc="C7186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D7053"/>
    <w:multiLevelType w:val="hybridMultilevel"/>
    <w:tmpl w:val="CB621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B75F6"/>
    <w:multiLevelType w:val="multilevel"/>
    <w:tmpl w:val="11125A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AA04E9"/>
    <w:multiLevelType w:val="hybridMultilevel"/>
    <w:tmpl w:val="1284A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0535F"/>
    <w:multiLevelType w:val="hybridMultilevel"/>
    <w:tmpl w:val="5590E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4530C"/>
    <w:multiLevelType w:val="hybridMultilevel"/>
    <w:tmpl w:val="58369D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F301F5"/>
    <w:multiLevelType w:val="hybridMultilevel"/>
    <w:tmpl w:val="8CA0413E"/>
    <w:lvl w:ilvl="0" w:tplc="7F44E3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522D9"/>
    <w:multiLevelType w:val="hybridMultilevel"/>
    <w:tmpl w:val="0AD297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E9311E"/>
    <w:multiLevelType w:val="hybridMultilevel"/>
    <w:tmpl w:val="FC40C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A1874"/>
    <w:multiLevelType w:val="hybridMultilevel"/>
    <w:tmpl w:val="7C38E9A0"/>
    <w:lvl w:ilvl="0" w:tplc="87C05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6D2949"/>
    <w:multiLevelType w:val="hybridMultilevel"/>
    <w:tmpl w:val="1FD8F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113A3"/>
    <w:multiLevelType w:val="hybridMultilevel"/>
    <w:tmpl w:val="0F6AB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80354"/>
    <w:multiLevelType w:val="hybridMultilevel"/>
    <w:tmpl w:val="9DB6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73A09"/>
    <w:multiLevelType w:val="hybridMultilevel"/>
    <w:tmpl w:val="FC40CA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F6CA6"/>
    <w:multiLevelType w:val="hybridMultilevel"/>
    <w:tmpl w:val="B9300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305F4B"/>
    <w:multiLevelType w:val="hybridMultilevel"/>
    <w:tmpl w:val="2D72E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460168">
    <w:abstractNumId w:val="12"/>
  </w:num>
  <w:num w:numId="2" w16cid:durableId="1244341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039208">
    <w:abstractNumId w:val="24"/>
  </w:num>
  <w:num w:numId="4" w16cid:durableId="2069961064">
    <w:abstractNumId w:val="1"/>
  </w:num>
  <w:num w:numId="5" w16cid:durableId="1098985691">
    <w:abstractNumId w:val="7"/>
  </w:num>
  <w:num w:numId="6" w16cid:durableId="931863650">
    <w:abstractNumId w:val="15"/>
  </w:num>
  <w:num w:numId="7" w16cid:durableId="125049375">
    <w:abstractNumId w:val="9"/>
  </w:num>
  <w:num w:numId="8" w16cid:durableId="1503398898">
    <w:abstractNumId w:val="23"/>
  </w:num>
  <w:num w:numId="9" w16cid:durableId="1616014615">
    <w:abstractNumId w:val="28"/>
  </w:num>
  <w:num w:numId="10" w16cid:durableId="271521585">
    <w:abstractNumId w:val="18"/>
  </w:num>
  <w:num w:numId="11" w16cid:durableId="2098164516">
    <w:abstractNumId w:val="21"/>
  </w:num>
  <w:num w:numId="12" w16cid:durableId="1788159457">
    <w:abstractNumId w:val="6"/>
  </w:num>
  <w:num w:numId="13" w16cid:durableId="482507580">
    <w:abstractNumId w:val="25"/>
  </w:num>
  <w:num w:numId="14" w16cid:durableId="189539601">
    <w:abstractNumId w:val="16"/>
  </w:num>
  <w:num w:numId="15" w16cid:durableId="1433629147">
    <w:abstractNumId w:val="3"/>
  </w:num>
  <w:num w:numId="16" w16cid:durableId="1829788129">
    <w:abstractNumId w:val="19"/>
  </w:num>
  <w:num w:numId="17" w16cid:durableId="784275581">
    <w:abstractNumId w:val="26"/>
  </w:num>
  <w:num w:numId="18" w16cid:durableId="709110826">
    <w:abstractNumId w:val="17"/>
  </w:num>
  <w:num w:numId="19" w16cid:durableId="1132481365">
    <w:abstractNumId w:val="22"/>
  </w:num>
  <w:num w:numId="20" w16cid:durableId="1701976938">
    <w:abstractNumId w:val="2"/>
  </w:num>
  <w:num w:numId="21" w16cid:durableId="2007515863">
    <w:abstractNumId w:val="5"/>
  </w:num>
  <w:num w:numId="22" w16cid:durableId="1737239151">
    <w:abstractNumId w:val="11"/>
  </w:num>
  <w:num w:numId="23" w16cid:durableId="1882014521">
    <w:abstractNumId w:val="29"/>
  </w:num>
  <w:num w:numId="24" w16cid:durableId="1937856968">
    <w:abstractNumId w:val="8"/>
  </w:num>
  <w:num w:numId="25" w16cid:durableId="649098634">
    <w:abstractNumId w:val="27"/>
  </w:num>
  <w:num w:numId="26" w16cid:durableId="1067385577">
    <w:abstractNumId w:val="10"/>
  </w:num>
  <w:num w:numId="27" w16cid:durableId="660236173">
    <w:abstractNumId w:val="20"/>
  </w:num>
  <w:num w:numId="28" w16cid:durableId="1017078882">
    <w:abstractNumId w:val="13"/>
  </w:num>
  <w:num w:numId="29" w16cid:durableId="110830717">
    <w:abstractNumId w:val="4"/>
  </w:num>
  <w:num w:numId="30" w16cid:durableId="19444117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F0"/>
    <w:rsid w:val="00000BE5"/>
    <w:rsid w:val="00003CEE"/>
    <w:rsid w:val="00003EB4"/>
    <w:rsid w:val="000056C5"/>
    <w:rsid w:val="00006EE6"/>
    <w:rsid w:val="00010E7D"/>
    <w:rsid w:val="000145D4"/>
    <w:rsid w:val="00016742"/>
    <w:rsid w:val="00023E73"/>
    <w:rsid w:val="00023F1C"/>
    <w:rsid w:val="00036BC2"/>
    <w:rsid w:val="000377D8"/>
    <w:rsid w:val="00040132"/>
    <w:rsid w:val="00044AB8"/>
    <w:rsid w:val="00045E75"/>
    <w:rsid w:val="00047557"/>
    <w:rsid w:val="00054655"/>
    <w:rsid w:val="0005580B"/>
    <w:rsid w:val="0006214E"/>
    <w:rsid w:val="0006390E"/>
    <w:rsid w:val="000670E4"/>
    <w:rsid w:val="000712B9"/>
    <w:rsid w:val="0007322E"/>
    <w:rsid w:val="00080587"/>
    <w:rsid w:val="00080628"/>
    <w:rsid w:val="00083B89"/>
    <w:rsid w:val="000852C0"/>
    <w:rsid w:val="000857CB"/>
    <w:rsid w:val="00087B28"/>
    <w:rsid w:val="000918FE"/>
    <w:rsid w:val="0009242C"/>
    <w:rsid w:val="000A0372"/>
    <w:rsid w:val="000A0DAF"/>
    <w:rsid w:val="000A357C"/>
    <w:rsid w:val="000A3E45"/>
    <w:rsid w:val="000B19C3"/>
    <w:rsid w:val="000B41DF"/>
    <w:rsid w:val="000B749F"/>
    <w:rsid w:val="000C0BAB"/>
    <w:rsid w:val="000C1679"/>
    <w:rsid w:val="000C34FC"/>
    <w:rsid w:val="000C7063"/>
    <w:rsid w:val="000D0C4B"/>
    <w:rsid w:val="000D132E"/>
    <w:rsid w:val="000D3804"/>
    <w:rsid w:val="000D3C43"/>
    <w:rsid w:val="000D508B"/>
    <w:rsid w:val="000D760B"/>
    <w:rsid w:val="000D7875"/>
    <w:rsid w:val="000D7AF5"/>
    <w:rsid w:val="000E0148"/>
    <w:rsid w:val="000E58C0"/>
    <w:rsid w:val="000E7202"/>
    <w:rsid w:val="000E7A08"/>
    <w:rsid w:val="000F046A"/>
    <w:rsid w:val="000F07DB"/>
    <w:rsid w:val="000F086A"/>
    <w:rsid w:val="000F72D5"/>
    <w:rsid w:val="000F7677"/>
    <w:rsid w:val="0010053D"/>
    <w:rsid w:val="00123450"/>
    <w:rsid w:val="001270B2"/>
    <w:rsid w:val="00127B36"/>
    <w:rsid w:val="00127FA9"/>
    <w:rsid w:val="00131F8B"/>
    <w:rsid w:val="00134EF7"/>
    <w:rsid w:val="0014042E"/>
    <w:rsid w:val="001431A2"/>
    <w:rsid w:val="00147D4B"/>
    <w:rsid w:val="001519F4"/>
    <w:rsid w:val="00152E9A"/>
    <w:rsid w:val="0016082E"/>
    <w:rsid w:val="0016133E"/>
    <w:rsid w:val="00170FFB"/>
    <w:rsid w:val="00172499"/>
    <w:rsid w:val="00173653"/>
    <w:rsid w:val="001738B1"/>
    <w:rsid w:val="00175CE9"/>
    <w:rsid w:val="00176880"/>
    <w:rsid w:val="001808AA"/>
    <w:rsid w:val="0018605D"/>
    <w:rsid w:val="001869DD"/>
    <w:rsid w:val="001915D4"/>
    <w:rsid w:val="0019262A"/>
    <w:rsid w:val="00196A40"/>
    <w:rsid w:val="001A7736"/>
    <w:rsid w:val="001B1E92"/>
    <w:rsid w:val="001B4645"/>
    <w:rsid w:val="001B57FA"/>
    <w:rsid w:val="001B666A"/>
    <w:rsid w:val="001B6940"/>
    <w:rsid w:val="001B6CB7"/>
    <w:rsid w:val="001C16AD"/>
    <w:rsid w:val="001C4747"/>
    <w:rsid w:val="001D398A"/>
    <w:rsid w:val="001D7686"/>
    <w:rsid w:val="001E0D0B"/>
    <w:rsid w:val="001E1209"/>
    <w:rsid w:val="001E23A1"/>
    <w:rsid w:val="001E2A46"/>
    <w:rsid w:val="001E3279"/>
    <w:rsid w:val="001E68F7"/>
    <w:rsid w:val="001F0B2E"/>
    <w:rsid w:val="001F0E6F"/>
    <w:rsid w:val="001F2C4E"/>
    <w:rsid w:val="001F37E1"/>
    <w:rsid w:val="001F4ECB"/>
    <w:rsid w:val="00203574"/>
    <w:rsid w:val="00203597"/>
    <w:rsid w:val="00204850"/>
    <w:rsid w:val="0020656F"/>
    <w:rsid w:val="00211FFB"/>
    <w:rsid w:val="002133C3"/>
    <w:rsid w:val="00213B8B"/>
    <w:rsid w:val="00217A12"/>
    <w:rsid w:val="00220DBF"/>
    <w:rsid w:val="0023220D"/>
    <w:rsid w:val="0023244F"/>
    <w:rsid w:val="00235677"/>
    <w:rsid w:val="00235F8F"/>
    <w:rsid w:val="002447B9"/>
    <w:rsid w:val="002458C5"/>
    <w:rsid w:val="00250078"/>
    <w:rsid w:val="00250A69"/>
    <w:rsid w:val="002528F5"/>
    <w:rsid w:val="0025429F"/>
    <w:rsid w:val="00254C68"/>
    <w:rsid w:val="0025568F"/>
    <w:rsid w:val="002601CE"/>
    <w:rsid w:val="002651C5"/>
    <w:rsid w:val="0026596F"/>
    <w:rsid w:val="00272686"/>
    <w:rsid w:val="002837D2"/>
    <w:rsid w:val="0028705F"/>
    <w:rsid w:val="002926C2"/>
    <w:rsid w:val="00294116"/>
    <w:rsid w:val="002957FD"/>
    <w:rsid w:val="00297CE5"/>
    <w:rsid w:val="002A3C71"/>
    <w:rsid w:val="002A43FD"/>
    <w:rsid w:val="002B7A7D"/>
    <w:rsid w:val="002C6849"/>
    <w:rsid w:val="002D615A"/>
    <w:rsid w:val="002D709D"/>
    <w:rsid w:val="002D7B40"/>
    <w:rsid w:val="002D7CBF"/>
    <w:rsid w:val="002E3407"/>
    <w:rsid w:val="002E4269"/>
    <w:rsid w:val="002E5221"/>
    <w:rsid w:val="002E730C"/>
    <w:rsid w:val="002F11BF"/>
    <w:rsid w:val="002F211B"/>
    <w:rsid w:val="002F4120"/>
    <w:rsid w:val="002F45B5"/>
    <w:rsid w:val="0030181A"/>
    <w:rsid w:val="003054A3"/>
    <w:rsid w:val="0031136D"/>
    <w:rsid w:val="00314CAD"/>
    <w:rsid w:val="0031754E"/>
    <w:rsid w:val="00321C76"/>
    <w:rsid w:val="00325E5F"/>
    <w:rsid w:val="0032665E"/>
    <w:rsid w:val="00327345"/>
    <w:rsid w:val="00330268"/>
    <w:rsid w:val="00333248"/>
    <w:rsid w:val="00333E80"/>
    <w:rsid w:val="003349AA"/>
    <w:rsid w:val="00336A35"/>
    <w:rsid w:val="00337295"/>
    <w:rsid w:val="00340B28"/>
    <w:rsid w:val="0034264B"/>
    <w:rsid w:val="003448A0"/>
    <w:rsid w:val="003538E7"/>
    <w:rsid w:val="00357848"/>
    <w:rsid w:val="00361677"/>
    <w:rsid w:val="00363009"/>
    <w:rsid w:val="00363868"/>
    <w:rsid w:val="00365EAD"/>
    <w:rsid w:val="00366941"/>
    <w:rsid w:val="00370488"/>
    <w:rsid w:val="00374B53"/>
    <w:rsid w:val="00384B4B"/>
    <w:rsid w:val="00386730"/>
    <w:rsid w:val="003874A9"/>
    <w:rsid w:val="00390270"/>
    <w:rsid w:val="00393CE7"/>
    <w:rsid w:val="00394CC6"/>
    <w:rsid w:val="003A11B4"/>
    <w:rsid w:val="003A161A"/>
    <w:rsid w:val="003A24B3"/>
    <w:rsid w:val="003A6150"/>
    <w:rsid w:val="003A7BD1"/>
    <w:rsid w:val="003B0397"/>
    <w:rsid w:val="003B05D2"/>
    <w:rsid w:val="003C3011"/>
    <w:rsid w:val="003D181C"/>
    <w:rsid w:val="003E359E"/>
    <w:rsid w:val="003E42B4"/>
    <w:rsid w:val="003F7CA9"/>
    <w:rsid w:val="00400A53"/>
    <w:rsid w:val="00403A73"/>
    <w:rsid w:val="00403D22"/>
    <w:rsid w:val="004108B1"/>
    <w:rsid w:val="004128D2"/>
    <w:rsid w:val="00417071"/>
    <w:rsid w:val="00417586"/>
    <w:rsid w:val="0042239D"/>
    <w:rsid w:val="00422BDF"/>
    <w:rsid w:val="0042359A"/>
    <w:rsid w:val="00424472"/>
    <w:rsid w:val="004347A1"/>
    <w:rsid w:val="00436BB1"/>
    <w:rsid w:val="00444151"/>
    <w:rsid w:val="004460F7"/>
    <w:rsid w:val="0045168A"/>
    <w:rsid w:val="0045192F"/>
    <w:rsid w:val="00455EBC"/>
    <w:rsid w:val="00456452"/>
    <w:rsid w:val="004578AA"/>
    <w:rsid w:val="00463DD6"/>
    <w:rsid w:val="00464E8A"/>
    <w:rsid w:val="0046557C"/>
    <w:rsid w:val="00474C6E"/>
    <w:rsid w:val="00481E1B"/>
    <w:rsid w:val="004851E0"/>
    <w:rsid w:val="004877EC"/>
    <w:rsid w:val="0049067D"/>
    <w:rsid w:val="00492710"/>
    <w:rsid w:val="00497F37"/>
    <w:rsid w:val="004A0076"/>
    <w:rsid w:val="004A0EE7"/>
    <w:rsid w:val="004A11A1"/>
    <w:rsid w:val="004A653B"/>
    <w:rsid w:val="004A70FF"/>
    <w:rsid w:val="004A7489"/>
    <w:rsid w:val="004A7ACB"/>
    <w:rsid w:val="004B28D3"/>
    <w:rsid w:val="004B331A"/>
    <w:rsid w:val="004B64C0"/>
    <w:rsid w:val="004D2491"/>
    <w:rsid w:val="004D2CF6"/>
    <w:rsid w:val="004D4B64"/>
    <w:rsid w:val="004D4BC4"/>
    <w:rsid w:val="004D5E5B"/>
    <w:rsid w:val="004D685B"/>
    <w:rsid w:val="004E2CEF"/>
    <w:rsid w:val="004E5860"/>
    <w:rsid w:val="004E6B46"/>
    <w:rsid w:val="004E795A"/>
    <w:rsid w:val="004F32C7"/>
    <w:rsid w:val="004F3A66"/>
    <w:rsid w:val="004F4E89"/>
    <w:rsid w:val="005029FC"/>
    <w:rsid w:val="00502EE0"/>
    <w:rsid w:val="00503922"/>
    <w:rsid w:val="00507C5A"/>
    <w:rsid w:val="0051343C"/>
    <w:rsid w:val="00516030"/>
    <w:rsid w:val="00522BB7"/>
    <w:rsid w:val="00522CF0"/>
    <w:rsid w:val="00525AA1"/>
    <w:rsid w:val="00525E55"/>
    <w:rsid w:val="005339C5"/>
    <w:rsid w:val="005361F1"/>
    <w:rsid w:val="00541F6F"/>
    <w:rsid w:val="0054413D"/>
    <w:rsid w:val="00557B58"/>
    <w:rsid w:val="005609EE"/>
    <w:rsid w:val="0056482D"/>
    <w:rsid w:val="00573645"/>
    <w:rsid w:val="00577B83"/>
    <w:rsid w:val="0058665A"/>
    <w:rsid w:val="005871C5"/>
    <w:rsid w:val="005871C7"/>
    <w:rsid w:val="00593BB7"/>
    <w:rsid w:val="0059706F"/>
    <w:rsid w:val="00597A21"/>
    <w:rsid w:val="005A25EF"/>
    <w:rsid w:val="005A3513"/>
    <w:rsid w:val="005A6B96"/>
    <w:rsid w:val="005A73D2"/>
    <w:rsid w:val="005B21A0"/>
    <w:rsid w:val="005B22B6"/>
    <w:rsid w:val="005B4F4D"/>
    <w:rsid w:val="005B5795"/>
    <w:rsid w:val="005B622B"/>
    <w:rsid w:val="005C24D6"/>
    <w:rsid w:val="005C59D9"/>
    <w:rsid w:val="005D1D0D"/>
    <w:rsid w:val="005E0624"/>
    <w:rsid w:val="005E2389"/>
    <w:rsid w:val="005F1723"/>
    <w:rsid w:val="005F390B"/>
    <w:rsid w:val="005F63A0"/>
    <w:rsid w:val="0060099A"/>
    <w:rsid w:val="00601062"/>
    <w:rsid w:val="00606BFF"/>
    <w:rsid w:val="00606E1F"/>
    <w:rsid w:val="00607357"/>
    <w:rsid w:val="00621DA2"/>
    <w:rsid w:val="00625E6E"/>
    <w:rsid w:val="00627833"/>
    <w:rsid w:val="00627C9E"/>
    <w:rsid w:val="00630F1A"/>
    <w:rsid w:val="00632F41"/>
    <w:rsid w:val="006346A7"/>
    <w:rsid w:val="006432D9"/>
    <w:rsid w:val="00644832"/>
    <w:rsid w:val="0064530D"/>
    <w:rsid w:val="00656625"/>
    <w:rsid w:val="0066095C"/>
    <w:rsid w:val="00663065"/>
    <w:rsid w:val="00665D1B"/>
    <w:rsid w:val="00665F3B"/>
    <w:rsid w:val="00667C5C"/>
    <w:rsid w:val="00670C16"/>
    <w:rsid w:val="00673777"/>
    <w:rsid w:val="006745FF"/>
    <w:rsid w:val="006770E9"/>
    <w:rsid w:val="0068709F"/>
    <w:rsid w:val="00687EE3"/>
    <w:rsid w:val="006917A1"/>
    <w:rsid w:val="006958BC"/>
    <w:rsid w:val="006A25CD"/>
    <w:rsid w:val="006B1DEA"/>
    <w:rsid w:val="006B23E6"/>
    <w:rsid w:val="006B26CE"/>
    <w:rsid w:val="006B3AF1"/>
    <w:rsid w:val="006C2751"/>
    <w:rsid w:val="006C29EA"/>
    <w:rsid w:val="006C5963"/>
    <w:rsid w:val="006D15C3"/>
    <w:rsid w:val="006D257A"/>
    <w:rsid w:val="006D3208"/>
    <w:rsid w:val="006D77E2"/>
    <w:rsid w:val="006E3537"/>
    <w:rsid w:val="006E5C8D"/>
    <w:rsid w:val="006E681F"/>
    <w:rsid w:val="006E6C2C"/>
    <w:rsid w:val="006E7508"/>
    <w:rsid w:val="006E7794"/>
    <w:rsid w:val="006F52E0"/>
    <w:rsid w:val="006F742A"/>
    <w:rsid w:val="00701043"/>
    <w:rsid w:val="00704359"/>
    <w:rsid w:val="007063BC"/>
    <w:rsid w:val="0072495E"/>
    <w:rsid w:val="007254E4"/>
    <w:rsid w:val="0072623B"/>
    <w:rsid w:val="00727606"/>
    <w:rsid w:val="00731A10"/>
    <w:rsid w:val="00732046"/>
    <w:rsid w:val="007363A3"/>
    <w:rsid w:val="00742F48"/>
    <w:rsid w:val="00743065"/>
    <w:rsid w:val="00750984"/>
    <w:rsid w:val="00753F99"/>
    <w:rsid w:val="00755BE6"/>
    <w:rsid w:val="00755D92"/>
    <w:rsid w:val="007568F7"/>
    <w:rsid w:val="007607C6"/>
    <w:rsid w:val="007621CD"/>
    <w:rsid w:val="00764F8D"/>
    <w:rsid w:val="00767771"/>
    <w:rsid w:val="007677D4"/>
    <w:rsid w:val="00767EEF"/>
    <w:rsid w:val="007744AC"/>
    <w:rsid w:val="00776076"/>
    <w:rsid w:val="007779BF"/>
    <w:rsid w:val="00777BAB"/>
    <w:rsid w:val="00781EBE"/>
    <w:rsid w:val="007834FB"/>
    <w:rsid w:val="0078693E"/>
    <w:rsid w:val="00790EBF"/>
    <w:rsid w:val="00794ED8"/>
    <w:rsid w:val="00796656"/>
    <w:rsid w:val="007A552C"/>
    <w:rsid w:val="007B006B"/>
    <w:rsid w:val="007B02B1"/>
    <w:rsid w:val="007B1A10"/>
    <w:rsid w:val="007B7524"/>
    <w:rsid w:val="007C05EE"/>
    <w:rsid w:val="007C06B7"/>
    <w:rsid w:val="007C2856"/>
    <w:rsid w:val="007C7DFB"/>
    <w:rsid w:val="007D75E4"/>
    <w:rsid w:val="007E2684"/>
    <w:rsid w:val="007E4162"/>
    <w:rsid w:val="007E53FB"/>
    <w:rsid w:val="007E689A"/>
    <w:rsid w:val="007F54AB"/>
    <w:rsid w:val="008029F0"/>
    <w:rsid w:val="0081399E"/>
    <w:rsid w:val="008172D3"/>
    <w:rsid w:val="00832B5D"/>
    <w:rsid w:val="00834076"/>
    <w:rsid w:val="00834600"/>
    <w:rsid w:val="00845C40"/>
    <w:rsid w:val="00850BBF"/>
    <w:rsid w:val="00850CAA"/>
    <w:rsid w:val="0085575B"/>
    <w:rsid w:val="0085615E"/>
    <w:rsid w:val="00856AF5"/>
    <w:rsid w:val="008679E3"/>
    <w:rsid w:val="00867B25"/>
    <w:rsid w:val="008717E8"/>
    <w:rsid w:val="00872769"/>
    <w:rsid w:val="00873B9D"/>
    <w:rsid w:val="00875B30"/>
    <w:rsid w:val="00875D69"/>
    <w:rsid w:val="008818E1"/>
    <w:rsid w:val="00886242"/>
    <w:rsid w:val="00896A72"/>
    <w:rsid w:val="008A3BEE"/>
    <w:rsid w:val="008A4175"/>
    <w:rsid w:val="008A451D"/>
    <w:rsid w:val="008A4597"/>
    <w:rsid w:val="008A7EF3"/>
    <w:rsid w:val="008B08C2"/>
    <w:rsid w:val="008B324F"/>
    <w:rsid w:val="008B5C8A"/>
    <w:rsid w:val="008C1339"/>
    <w:rsid w:val="008C682C"/>
    <w:rsid w:val="008D0ACF"/>
    <w:rsid w:val="008D2981"/>
    <w:rsid w:val="008D4302"/>
    <w:rsid w:val="008D70E1"/>
    <w:rsid w:val="008D7428"/>
    <w:rsid w:val="008E080C"/>
    <w:rsid w:val="008E0A8A"/>
    <w:rsid w:val="008E13A2"/>
    <w:rsid w:val="008E1756"/>
    <w:rsid w:val="008E264C"/>
    <w:rsid w:val="008E46C7"/>
    <w:rsid w:val="008E5099"/>
    <w:rsid w:val="008E6693"/>
    <w:rsid w:val="008E72CE"/>
    <w:rsid w:val="008F2250"/>
    <w:rsid w:val="008F4721"/>
    <w:rsid w:val="0090551D"/>
    <w:rsid w:val="00913D79"/>
    <w:rsid w:val="00917016"/>
    <w:rsid w:val="009205EF"/>
    <w:rsid w:val="0092514D"/>
    <w:rsid w:val="00930D2D"/>
    <w:rsid w:val="0094015D"/>
    <w:rsid w:val="00944C3E"/>
    <w:rsid w:val="009458EF"/>
    <w:rsid w:val="00952CA7"/>
    <w:rsid w:val="00957FC2"/>
    <w:rsid w:val="00960694"/>
    <w:rsid w:val="009656F2"/>
    <w:rsid w:val="00971774"/>
    <w:rsid w:val="0097472E"/>
    <w:rsid w:val="00975012"/>
    <w:rsid w:val="0097518A"/>
    <w:rsid w:val="0098327D"/>
    <w:rsid w:val="00984DCC"/>
    <w:rsid w:val="00985464"/>
    <w:rsid w:val="00985630"/>
    <w:rsid w:val="00993622"/>
    <w:rsid w:val="00993E68"/>
    <w:rsid w:val="009A1CA3"/>
    <w:rsid w:val="009A6971"/>
    <w:rsid w:val="009B56F8"/>
    <w:rsid w:val="009B6776"/>
    <w:rsid w:val="009C2CD7"/>
    <w:rsid w:val="009C39D6"/>
    <w:rsid w:val="009C5C40"/>
    <w:rsid w:val="009C6C07"/>
    <w:rsid w:val="009C6D10"/>
    <w:rsid w:val="009D7AB7"/>
    <w:rsid w:val="009E6798"/>
    <w:rsid w:val="009F0C0C"/>
    <w:rsid w:val="009F24F9"/>
    <w:rsid w:val="009F3276"/>
    <w:rsid w:val="009F477A"/>
    <w:rsid w:val="00A01EBC"/>
    <w:rsid w:val="00A02741"/>
    <w:rsid w:val="00A03192"/>
    <w:rsid w:val="00A04F35"/>
    <w:rsid w:val="00A0791E"/>
    <w:rsid w:val="00A125CE"/>
    <w:rsid w:val="00A15417"/>
    <w:rsid w:val="00A211B3"/>
    <w:rsid w:val="00A23227"/>
    <w:rsid w:val="00A25AC0"/>
    <w:rsid w:val="00A26F5D"/>
    <w:rsid w:val="00A4236B"/>
    <w:rsid w:val="00A430AE"/>
    <w:rsid w:val="00A47716"/>
    <w:rsid w:val="00A5386D"/>
    <w:rsid w:val="00A53B50"/>
    <w:rsid w:val="00A57218"/>
    <w:rsid w:val="00A61ED2"/>
    <w:rsid w:val="00A63441"/>
    <w:rsid w:val="00A64A98"/>
    <w:rsid w:val="00A81CFC"/>
    <w:rsid w:val="00A97CCC"/>
    <w:rsid w:val="00AA12A9"/>
    <w:rsid w:val="00AA31BB"/>
    <w:rsid w:val="00AB12C7"/>
    <w:rsid w:val="00AB16B4"/>
    <w:rsid w:val="00AB7431"/>
    <w:rsid w:val="00AC2D5D"/>
    <w:rsid w:val="00AC3BE5"/>
    <w:rsid w:val="00AC4990"/>
    <w:rsid w:val="00AC5CD2"/>
    <w:rsid w:val="00AD08A9"/>
    <w:rsid w:val="00AD40DA"/>
    <w:rsid w:val="00AD4DEC"/>
    <w:rsid w:val="00AE2FFA"/>
    <w:rsid w:val="00AE3A9B"/>
    <w:rsid w:val="00AE40A7"/>
    <w:rsid w:val="00AE4EBB"/>
    <w:rsid w:val="00AE58FC"/>
    <w:rsid w:val="00B04AAD"/>
    <w:rsid w:val="00B06760"/>
    <w:rsid w:val="00B11E80"/>
    <w:rsid w:val="00B20099"/>
    <w:rsid w:val="00B20188"/>
    <w:rsid w:val="00B30712"/>
    <w:rsid w:val="00B42857"/>
    <w:rsid w:val="00B455A3"/>
    <w:rsid w:val="00B46A52"/>
    <w:rsid w:val="00B47824"/>
    <w:rsid w:val="00B50611"/>
    <w:rsid w:val="00B52019"/>
    <w:rsid w:val="00B53230"/>
    <w:rsid w:val="00B563BD"/>
    <w:rsid w:val="00B56749"/>
    <w:rsid w:val="00B60537"/>
    <w:rsid w:val="00B6101A"/>
    <w:rsid w:val="00B6428B"/>
    <w:rsid w:val="00B75DEE"/>
    <w:rsid w:val="00B801A0"/>
    <w:rsid w:val="00B82C94"/>
    <w:rsid w:val="00B85430"/>
    <w:rsid w:val="00B873A0"/>
    <w:rsid w:val="00BA0245"/>
    <w:rsid w:val="00BA02E1"/>
    <w:rsid w:val="00BA1F9A"/>
    <w:rsid w:val="00BA563F"/>
    <w:rsid w:val="00BA779E"/>
    <w:rsid w:val="00BA7943"/>
    <w:rsid w:val="00BA7E14"/>
    <w:rsid w:val="00BB0489"/>
    <w:rsid w:val="00BB48AA"/>
    <w:rsid w:val="00BB5C61"/>
    <w:rsid w:val="00BB708D"/>
    <w:rsid w:val="00BC1FF7"/>
    <w:rsid w:val="00BC6F83"/>
    <w:rsid w:val="00BC7371"/>
    <w:rsid w:val="00BC7E3A"/>
    <w:rsid w:val="00BD0D8F"/>
    <w:rsid w:val="00BD3212"/>
    <w:rsid w:val="00BE34E1"/>
    <w:rsid w:val="00BE3520"/>
    <w:rsid w:val="00BE612B"/>
    <w:rsid w:val="00BF2F43"/>
    <w:rsid w:val="00BF5290"/>
    <w:rsid w:val="00BF53B2"/>
    <w:rsid w:val="00BF56AA"/>
    <w:rsid w:val="00BF5F55"/>
    <w:rsid w:val="00C054B5"/>
    <w:rsid w:val="00C05733"/>
    <w:rsid w:val="00C10EE4"/>
    <w:rsid w:val="00C26F2A"/>
    <w:rsid w:val="00C30213"/>
    <w:rsid w:val="00C41551"/>
    <w:rsid w:val="00C42CFB"/>
    <w:rsid w:val="00C43478"/>
    <w:rsid w:val="00C4351A"/>
    <w:rsid w:val="00C539B3"/>
    <w:rsid w:val="00C56FF8"/>
    <w:rsid w:val="00C610AD"/>
    <w:rsid w:val="00C6335B"/>
    <w:rsid w:val="00C679CC"/>
    <w:rsid w:val="00C7034C"/>
    <w:rsid w:val="00C724F4"/>
    <w:rsid w:val="00C737E1"/>
    <w:rsid w:val="00C739CC"/>
    <w:rsid w:val="00C74B91"/>
    <w:rsid w:val="00C75CC5"/>
    <w:rsid w:val="00C763EC"/>
    <w:rsid w:val="00C92B7C"/>
    <w:rsid w:val="00C96FA3"/>
    <w:rsid w:val="00C97CFE"/>
    <w:rsid w:val="00CA0888"/>
    <w:rsid w:val="00CB505B"/>
    <w:rsid w:val="00CB57B0"/>
    <w:rsid w:val="00CC27FA"/>
    <w:rsid w:val="00CD1DA8"/>
    <w:rsid w:val="00CD2962"/>
    <w:rsid w:val="00CD494A"/>
    <w:rsid w:val="00CD6A34"/>
    <w:rsid w:val="00CE1FE5"/>
    <w:rsid w:val="00CE221F"/>
    <w:rsid w:val="00CF11CC"/>
    <w:rsid w:val="00CF11CF"/>
    <w:rsid w:val="00CF324B"/>
    <w:rsid w:val="00D00AEE"/>
    <w:rsid w:val="00D017A1"/>
    <w:rsid w:val="00D05127"/>
    <w:rsid w:val="00D14302"/>
    <w:rsid w:val="00D16DD1"/>
    <w:rsid w:val="00D21261"/>
    <w:rsid w:val="00D227CD"/>
    <w:rsid w:val="00D23BE6"/>
    <w:rsid w:val="00D245C9"/>
    <w:rsid w:val="00D24B80"/>
    <w:rsid w:val="00D327D1"/>
    <w:rsid w:val="00D4069D"/>
    <w:rsid w:val="00D44E33"/>
    <w:rsid w:val="00D47A78"/>
    <w:rsid w:val="00D527A0"/>
    <w:rsid w:val="00D52F37"/>
    <w:rsid w:val="00D546AB"/>
    <w:rsid w:val="00D551D4"/>
    <w:rsid w:val="00D56DF0"/>
    <w:rsid w:val="00D57F38"/>
    <w:rsid w:val="00D625E7"/>
    <w:rsid w:val="00D70FCE"/>
    <w:rsid w:val="00D75E9A"/>
    <w:rsid w:val="00D764D2"/>
    <w:rsid w:val="00D85C43"/>
    <w:rsid w:val="00D8680B"/>
    <w:rsid w:val="00D93688"/>
    <w:rsid w:val="00D95CA9"/>
    <w:rsid w:val="00DA45DB"/>
    <w:rsid w:val="00DA4669"/>
    <w:rsid w:val="00DA5F31"/>
    <w:rsid w:val="00DB2A1A"/>
    <w:rsid w:val="00DB3609"/>
    <w:rsid w:val="00DB43CF"/>
    <w:rsid w:val="00DB5234"/>
    <w:rsid w:val="00DB6EE3"/>
    <w:rsid w:val="00DB7BE0"/>
    <w:rsid w:val="00DC43EC"/>
    <w:rsid w:val="00DD53BC"/>
    <w:rsid w:val="00DD5E23"/>
    <w:rsid w:val="00DE25E3"/>
    <w:rsid w:val="00DE2803"/>
    <w:rsid w:val="00E027C4"/>
    <w:rsid w:val="00E05A77"/>
    <w:rsid w:val="00E11BF5"/>
    <w:rsid w:val="00E14F23"/>
    <w:rsid w:val="00E162C7"/>
    <w:rsid w:val="00E2311C"/>
    <w:rsid w:val="00E232E7"/>
    <w:rsid w:val="00E247F0"/>
    <w:rsid w:val="00E36635"/>
    <w:rsid w:val="00E43512"/>
    <w:rsid w:val="00E45052"/>
    <w:rsid w:val="00E45099"/>
    <w:rsid w:val="00E5032C"/>
    <w:rsid w:val="00E57ECC"/>
    <w:rsid w:val="00E601E9"/>
    <w:rsid w:val="00E60C8C"/>
    <w:rsid w:val="00E64E5C"/>
    <w:rsid w:val="00E700E1"/>
    <w:rsid w:val="00E727B7"/>
    <w:rsid w:val="00E7521E"/>
    <w:rsid w:val="00E76466"/>
    <w:rsid w:val="00E84EAA"/>
    <w:rsid w:val="00E872D9"/>
    <w:rsid w:val="00E9112E"/>
    <w:rsid w:val="00E957DF"/>
    <w:rsid w:val="00E96285"/>
    <w:rsid w:val="00EA38C7"/>
    <w:rsid w:val="00EA582A"/>
    <w:rsid w:val="00EB090E"/>
    <w:rsid w:val="00EB19F4"/>
    <w:rsid w:val="00EB5604"/>
    <w:rsid w:val="00EB5D6D"/>
    <w:rsid w:val="00EC374E"/>
    <w:rsid w:val="00ED10E7"/>
    <w:rsid w:val="00ED6E56"/>
    <w:rsid w:val="00ED7A32"/>
    <w:rsid w:val="00EE42FA"/>
    <w:rsid w:val="00EF333D"/>
    <w:rsid w:val="00EF4B7C"/>
    <w:rsid w:val="00EF4B7D"/>
    <w:rsid w:val="00F03308"/>
    <w:rsid w:val="00F04561"/>
    <w:rsid w:val="00F11E15"/>
    <w:rsid w:val="00F12C2D"/>
    <w:rsid w:val="00F13D41"/>
    <w:rsid w:val="00F1716F"/>
    <w:rsid w:val="00F20DCD"/>
    <w:rsid w:val="00F21A14"/>
    <w:rsid w:val="00F26D9A"/>
    <w:rsid w:val="00F407BA"/>
    <w:rsid w:val="00F4697D"/>
    <w:rsid w:val="00F46E4B"/>
    <w:rsid w:val="00F5161E"/>
    <w:rsid w:val="00F516AA"/>
    <w:rsid w:val="00F53DC3"/>
    <w:rsid w:val="00F56037"/>
    <w:rsid w:val="00F579B8"/>
    <w:rsid w:val="00F57F23"/>
    <w:rsid w:val="00F6018C"/>
    <w:rsid w:val="00F63001"/>
    <w:rsid w:val="00F63A41"/>
    <w:rsid w:val="00F70B48"/>
    <w:rsid w:val="00F715BB"/>
    <w:rsid w:val="00F74710"/>
    <w:rsid w:val="00F768AA"/>
    <w:rsid w:val="00F86500"/>
    <w:rsid w:val="00F940F6"/>
    <w:rsid w:val="00F94105"/>
    <w:rsid w:val="00F95124"/>
    <w:rsid w:val="00F95A8F"/>
    <w:rsid w:val="00F964B4"/>
    <w:rsid w:val="00F9782A"/>
    <w:rsid w:val="00FA6A80"/>
    <w:rsid w:val="00FB47AE"/>
    <w:rsid w:val="00FB5BFA"/>
    <w:rsid w:val="00FB735D"/>
    <w:rsid w:val="00FC1E1E"/>
    <w:rsid w:val="00FC2AF9"/>
    <w:rsid w:val="00FD0CDF"/>
    <w:rsid w:val="00FD25F0"/>
    <w:rsid w:val="00FD38E0"/>
    <w:rsid w:val="00FE4B38"/>
    <w:rsid w:val="00FF429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364A"/>
  <w15:docId w15:val="{0AFE5170-1210-498B-A04F-4A1D111D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5F0"/>
    <w:pPr>
      <w:ind w:left="720"/>
      <w:contextualSpacing/>
    </w:pPr>
  </w:style>
  <w:style w:type="character" w:customStyle="1" w:styleId="Teksttreci4">
    <w:name w:val="Tekst treści (4)_"/>
    <w:link w:val="Teksttreci41"/>
    <w:rsid w:val="00FD25F0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FD25F0"/>
    <w:pPr>
      <w:widowControl w:val="0"/>
      <w:shd w:val="clear" w:color="auto" w:fill="FFFFFF"/>
      <w:spacing w:after="0" w:line="254" w:lineRule="exact"/>
      <w:ind w:hanging="380"/>
      <w:jc w:val="both"/>
    </w:pPr>
    <w:rPr>
      <w:sz w:val="19"/>
      <w:szCs w:val="19"/>
    </w:rPr>
  </w:style>
  <w:style w:type="paragraph" w:customStyle="1" w:styleId="Default">
    <w:name w:val="Default"/>
    <w:rsid w:val="002D7C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9D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1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1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1E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E1B"/>
    <w:rPr>
      <w:b/>
      <w:bCs/>
      <w:sz w:val="20"/>
      <w:szCs w:val="20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97472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C26F2A"/>
    <w:pPr>
      <w:tabs>
        <w:tab w:val="left" w:pos="851"/>
      </w:tabs>
      <w:spacing w:before="120" w:line="264" w:lineRule="auto"/>
      <w:jc w:val="both"/>
    </w:pPr>
    <w:rPr>
      <w:rFonts w:ascii="Arial" w:eastAsia="Calibri" w:hAnsi="Arial" w:cs="Times New Roman"/>
      <w:sz w:val="20"/>
    </w:rPr>
  </w:style>
  <w:style w:type="character" w:customStyle="1" w:styleId="01TretxtpodstRaportWSZnak">
    <w:name w:val="01_Treść_txt_podst_Raport_WS Znak"/>
    <w:link w:val="01TretxtpodstRaportWS"/>
    <w:rsid w:val="00C26F2A"/>
    <w:rPr>
      <w:rFonts w:ascii="Arial" w:eastAsia="Calibri" w:hAnsi="Arial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6F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6F2A"/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D00AEE"/>
    <w:rPr>
      <w:rFonts w:ascii="Times" w:eastAsia="Times New Roman" w:hAnsi="Times" w:cs="Arial"/>
      <w:sz w:val="24"/>
      <w:szCs w:val="20"/>
      <w:lang w:eastAsia="pl-PL"/>
    </w:rPr>
  </w:style>
  <w:style w:type="paragraph" w:customStyle="1" w:styleId="pismamz">
    <w:name w:val="pisma_mz"/>
    <w:basedOn w:val="Normalny"/>
    <w:link w:val="pismamzZnak"/>
    <w:qFormat/>
    <w:rsid w:val="00D14302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mzZnak">
    <w:name w:val="pisma_mz Znak"/>
    <w:link w:val="pismamz"/>
    <w:rsid w:val="00D14302"/>
    <w:rPr>
      <w:rFonts w:ascii="Arial" w:eastAsia="Calibri" w:hAnsi="Arial" w:cs="Times New Roman"/>
    </w:rPr>
  </w:style>
  <w:style w:type="paragraph" w:styleId="Poprawka">
    <w:name w:val="Revision"/>
    <w:hidden/>
    <w:uiPriority w:val="99"/>
    <w:semiHidden/>
    <w:rsid w:val="00BA02E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21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1DA2"/>
    <w:rPr>
      <w:color w:val="605E5C"/>
      <w:shd w:val="clear" w:color="auto" w:fill="E1DFDD"/>
    </w:rPr>
  </w:style>
  <w:style w:type="table" w:styleId="Tabela-Siatka">
    <w:name w:val="Table Grid"/>
    <w:aliases w:val="Summary box"/>
    <w:basedOn w:val="Standardowy"/>
    <w:uiPriority w:val="59"/>
    <w:rsid w:val="00F516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TabelepodpisRaportWS">
    <w:name w:val="04_Tabele_podpis_Raport_WS"/>
    <w:basedOn w:val="Legenda"/>
    <w:link w:val="04TabelepodpisRaportWSZnak"/>
    <w:qFormat/>
    <w:rsid w:val="00F5161E"/>
    <w:pPr>
      <w:keepNext/>
      <w:tabs>
        <w:tab w:val="left" w:pos="851"/>
      </w:tabs>
      <w:spacing w:before="240" w:after="60"/>
    </w:pPr>
    <w:rPr>
      <w:rFonts w:ascii="Arial" w:eastAsia="Calibri" w:hAnsi="Arial" w:cs="Times New Roman"/>
      <w:b/>
      <w:bCs/>
      <w:i w:val="0"/>
      <w:iCs w:val="0"/>
      <w:color w:val="auto"/>
      <w:szCs w:val="20"/>
      <w:lang w:eastAsia="pl-PL"/>
    </w:rPr>
  </w:style>
  <w:style w:type="character" w:customStyle="1" w:styleId="04TabelepodpisRaportWSZnak">
    <w:name w:val="04_Tabele_podpis_Raport_WS Znak"/>
    <w:link w:val="04TabelepodpisRaportWS"/>
    <w:locked/>
    <w:rsid w:val="00F5161E"/>
    <w:rPr>
      <w:rFonts w:ascii="Arial" w:eastAsia="Calibri" w:hAnsi="Arial" w:cs="Times New Roman"/>
      <w:b/>
      <w:bCs/>
      <w:sz w:val="18"/>
      <w:szCs w:val="20"/>
      <w:lang w:eastAsia="pl-PL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F5161E"/>
    <w:pPr>
      <w:tabs>
        <w:tab w:val="left" w:pos="851"/>
      </w:tabs>
      <w:spacing w:before="40" w:after="40"/>
      <w:jc w:val="both"/>
    </w:pPr>
    <w:rPr>
      <w:rFonts w:ascii="Arial" w:eastAsia="Calibri" w:hAnsi="Arial" w:cs="Times New Roman"/>
      <w:sz w:val="16"/>
      <w:szCs w:val="16"/>
      <w:lang w:eastAsia="pl-PL"/>
    </w:rPr>
  </w:style>
  <w:style w:type="character" w:customStyle="1" w:styleId="06TabeletxtpodstRaportWSZnak">
    <w:name w:val="06_Tabele_txt_podst_Raport_WS Znak"/>
    <w:link w:val="06TabeletxtpodstRaportWS"/>
    <w:locked/>
    <w:rsid w:val="00F5161E"/>
    <w:rPr>
      <w:rFonts w:ascii="Arial" w:eastAsia="Calibri" w:hAnsi="Arial" w:cs="Times New Roman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61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janiszewska@m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3BE9-68D1-4BB2-9207-997AD6D6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2722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Ilarska Joanna</dc:creator>
  <cp:lastModifiedBy>Budziszewska-Makulska Alina</cp:lastModifiedBy>
  <cp:revision>6</cp:revision>
  <cp:lastPrinted>2020-01-09T15:21:00Z</cp:lastPrinted>
  <dcterms:created xsi:type="dcterms:W3CDTF">2024-11-27T11:46:00Z</dcterms:created>
  <dcterms:modified xsi:type="dcterms:W3CDTF">2024-11-28T09:28:00Z</dcterms:modified>
</cp:coreProperties>
</file>