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645"/>
        <w:gridCol w:w="424"/>
        <w:gridCol w:w="465"/>
        <w:gridCol w:w="414"/>
        <w:gridCol w:w="454"/>
        <w:gridCol w:w="915"/>
        <w:gridCol w:w="8"/>
        <w:gridCol w:w="653"/>
        <w:gridCol w:w="426"/>
        <w:gridCol w:w="287"/>
        <w:gridCol w:w="567"/>
        <w:gridCol w:w="18"/>
        <w:gridCol w:w="66"/>
        <w:gridCol w:w="483"/>
        <w:gridCol w:w="189"/>
        <w:gridCol w:w="378"/>
        <w:gridCol w:w="40"/>
        <w:gridCol w:w="433"/>
        <w:gridCol w:w="94"/>
        <w:gridCol w:w="181"/>
        <w:gridCol w:w="386"/>
        <w:gridCol w:w="567"/>
        <w:gridCol w:w="62"/>
        <w:gridCol w:w="505"/>
        <w:gridCol w:w="894"/>
        <w:gridCol w:w="8"/>
      </w:tblGrid>
      <w:tr w:rsidR="006A701A" w:rsidRPr="00074659" w14:paraId="54D1F4B4" w14:textId="77777777" w:rsidTr="00247D45">
        <w:trPr>
          <w:trHeight w:val="1611"/>
          <w:jc w:val="center"/>
        </w:trPr>
        <w:tc>
          <w:tcPr>
            <w:tcW w:w="6868" w:type="dxa"/>
            <w:gridSpan w:val="13"/>
          </w:tcPr>
          <w:p w14:paraId="2C06D8CB" w14:textId="77777777" w:rsidR="006A701A" w:rsidRPr="00074659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074659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074659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DB7AC0E" w14:textId="75BE527D" w:rsidR="00582F0C" w:rsidRDefault="004B3C14" w:rsidP="00426BBC">
            <w:pPr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</w:t>
            </w:r>
            <w:r w:rsidR="00DB14FA" w:rsidRPr="00074659">
              <w:rPr>
                <w:rFonts w:ascii="Times New Roman" w:eastAsia="Times New Roman" w:hAnsi="Times New Roman"/>
                <w:color w:val="000000"/>
                <w:lang w:eastAsia="pl-PL"/>
              </w:rPr>
              <w:t>ozporządzeni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="00DB14FA" w:rsidRPr="0007465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Ministra Zdrowia w spra</w:t>
            </w:r>
            <w:r w:rsidR="00697F89" w:rsidRPr="00074659">
              <w:rPr>
                <w:rFonts w:ascii="Times New Roman" w:eastAsia="Times New Roman" w:hAnsi="Times New Roman"/>
                <w:color w:val="000000"/>
                <w:lang w:eastAsia="pl-PL"/>
              </w:rPr>
              <w:t>wie limitu przyjęć</w:t>
            </w:r>
            <w:r w:rsidR="008E5CE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na studia</w:t>
            </w:r>
            <w:r w:rsidR="00697F89" w:rsidRPr="0007465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na kierunk</w:t>
            </w:r>
            <w:r w:rsidR="008E5CEA">
              <w:rPr>
                <w:rFonts w:ascii="Times New Roman" w:eastAsia="Times New Roman" w:hAnsi="Times New Roman"/>
                <w:color w:val="000000"/>
                <w:lang w:eastAsia="pl-PL"/>
              </w:rPr>
              <w:t>ach</w:t>
            </w:r>
            <w:r w:rsidR="00697F89" w:rsidRPr="0007465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DB14FA" w:rsidRPr="00074659">
              <w:rPr>
                <w:rFonts w:ascii="Times New Roman" w:eastAsia="Times New Roman" w:hAnsi="Times New Roman"/>
                <w:color w:val="000000"/>
                <w:lang w:eastAsia="pl-PL"/>
              </w:rPr>
              <w:t>lekarski</w:t>
            </w:r>
            <w:r w:rsidR="008E5CEA">
              <w:rPr>
                <w:rFonts w:ascii="Times New Roman" w:eastAsia="Times New Roman" w:hAnsi="Times New Roman"/>
                <w:color w:val="000000"/>
                <w:lang w:eastAsia="pl-PL"/>
              </w:rPr>
              <w:t>m</w:t>
            </w:r>
            <w:r w:rsidR="00DB14FA" w:rsidRPr="0007465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lekarsko-dentystyczny</w:t>
            </w:r>
            <w:r w:rsidR="008E5CEA">
              <w:rPr>
                <w:rFonts w:ascii="Times New Roman" w:eastAsia="Times New Roman" w:hAnsi="Times New Roman"/>
                <w:color w:val="000000"/>
                <w:lang w:eastAsia="pl-PL"/>
              </w:rPr>
              <w:t>m</w:t>
            </w:r>
          </w:p>
          <w:p w14:paraId="2A50536E" w14:textId="77777777" w:rsidR="00142CE9" w:rsidRPr="00074659" w:rsidRDefault="00142CE9" w:rsidP="00426BBC">
            <w:pPr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69D5B3B" w14:textId="77777777" w:rsidR="006A701A" w:rsidRPr="00074659" w:rsidRDefault="006A701A" w:rsidP="00142CE9">
            <w:pPr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4659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DC1D015" w14:textId="52AE5E8E" w:rsidR="004B3C14" w:rsidRDefault="00DB14FA" w:rsidP="00DB14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Ministerstwo Zdrowia</w:t>
            </w:r>
            <w:r w:rsidR="004B3C14">
              <w:rPr>
                <w:rFonts w:ascii="Times New Roman" w:hAnsi="Times New Roman"/>
                <w:color w:val="000000"/>
              </w:rPr>
              <w:t xml:space="preserve"> – ministerstwo wiodące</w:t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42B78C5" w14:textId="51CABA58" w:rsidR="00582F0C" w:rsidRDefault="00DB14FA" w:rsidP="00DB14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Ministerstw</w:t>
            </w:r>
            <w:r w:rsidR="004B3C14">
              <w:rPr>
                <w:rFonts w:ascii="Times New Roman" w:hAnsi="Times New Roman"/>
                <w:color w:val="000000"/>
              </w:rPr>
              <w:t>o</w:t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="00F526F0">
              <w:rPr>
                <w:rFonts w:ascii="Times New Roman" w:hAnsi="Times New Roman"/>
                <w:color w:val="000000"/>
              </w:rPr>
              <w:t xml:space="preserve">Edukacji i </w:t>
            </w:r>
            <w:r w:rsidRPr="00074659">
              <w:rPr>
                <w:rFonts w:ascii="Times New Roman" w:hAnsi="Times New Roman"/>
                <w:color w:val="000000"/>
              </w:rPr>
              <w:t xml:space="preserve">Nauki </w:t>
            </w:r>
            <w:r w:rsidR="004B3C14">
              <w:rPr>
                <w:rFonts w:ascii="Times New Roman" w:hAnsi="Times New Roman"/>
                <w:color w:val="000000"/>
              </w:rPr>
              <w:t>– ministerstwo współpracujące</w:t>
            </w:r>
          </w:p>
          <w:p w14:paraId="62C4C7C0" w14:textId="77777777" w:rsidR="006A701A" w:rsidRPr="00074659" w:rsidRDefault="006A701A" w:rsidP="00DB14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22FF4B5" w14:textId="77777777" w:rsidR="001B3460" w:rsidRPr="00074659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74659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4CB8311" w14:textId="340125CC" w:rsidR="002A72C1" w:rsidRDefault="002A72C1" w:rsidP="00D11935">
            <w:pPr>
              <w:spacing w:line="240" w:lineRule="auto"/>
              <w:rPr>
                <w:rFonts w:ascii="Times New Roman" w:hAnsi="Times New Roman"/>
              </w:rPr>
            </w:pPr>
            <w:r w:rsidRPr="002A72C1">
              <w:rPr>
                <w:rFonts w:ascii="Times New Roman" w:hAnsi="Times New Roman"/>
              </w:rPr>
              <w:t xml:space="preserve">Pan </w:t>
            </w:r>
            <w:r w:rsidR="0099024C">
              <w:rPr>
                <w:rFonts w:ascii="Times New Roman" w:hAnsi="Times New Roman"/>
              </w:rPr>
              <w:t>Piotr Bromber</w:t>
            </w:r>
            <w:r w:rsidR="007F4C6E">
              <w:rPr>
                <w:rFonts w:ascii="Times New Roman" w:hAnsi="Times New Roman"/>
              </w:rPr>
              <w:t>,</w:t>
            </w:r>
            <w:r w:rsidR="001C4705">
              <w:rPr>
                <w:rFonts w:ascii="Times New Roman" w:hAnsi="Times New Roman"/>
              </w:rPr>
              <w:t xml:space="preserve"> Pods</w:t>
            </w:r>
            <w:r w:rsidRPr="002A72C1">
              <w:rPr>
                <w:rFonts w:ascii="Times New Roman" w:hAnsi="Times New Roman"/>
              </w:rPr>
              <w:t>ekretarz Stanu w Ministerstwie Zdrowia</w:t>
            </w:r>
          </w:p>
          <w:p w14:paraId="3E700FAC" w14:textId="77777777" w:rsidR="00582F0C" w:rsidRDefault="00582F0C" w:rsidP="00D11935">
            <w:pPr>
              <w:spacing w:line="240" w:lineRule="auto"/>
              <w:rPr>
                <w:rFonts w:ascii="Times New Roman" w:hAnsi="Times New Roman"/>
              </w:rPr>
            </w:pPr>
          </w:p>
          <w:p w14:paraId="6C1613EC" w14:textId="77777777" w:rsidR="006A701A" w:rsidRPr="00074659" w:rsidRDefault="006A701A" w:rsidP="00D11935">
            <w:pPr>
              <w:spacing w:line="240" w:lineRule="auto"/>
              <w:rPr>
                <w:rFonts w:ascii="Times New Roman" w:hAnsi="Times New Roman"/>
              </w:rPr>
            </w:pPr>
            <w:r w:rsidRPr="00074659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260727CB" w14:textId="77777777" w:rsidR="002A72C1" w:rsidRPr="002A72C1" w:rsidRDefault="002A72C1" w:rsidP="002A72C1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A72C1">
              <w:rPr>
                <w:rFonts w:ascii="Times New Roman" w:hAnsi="Times New Roman"/>
                <w:color w:val="000000"/>
              </w:rPr>
              <w:t>Pan</w:t>
            </w:r>
            <w:r w:rsidR="003F6235">
              <w:rPr>
                <w:rFonts w:ascii="Times New Roman" w:hAnsi="Times New Roman"/>
                <w:color w:val="000000"/>
              </w:rPr>
              <w:t>i Małgorzata Zadorożna</w:t>
            </w:r>
            <w:r w:rsidRPr="002A72C1">
              <w:rPr>
                <w:rFonts w:ascii="Times New Roman" w:hAnsi="Times New Roman"/>
                <w:color w:val="000000"/>
              </w:rPr>
              <w:t xml:space="preserve">, Dyrektor Departamentu </w:t>
            </w:r>
            <w:r w:rsidR="00E2442C">
              <w:rPr>
                <w:rFonts w:ascii="Times New Roman" w:hAnsi="Times New Roman"/>
                <w:color w:val="000000"/>
              </w:rPr>
              <w:t>Rozwoju Kadr Medycznych</w:t>
            </w:r>
            <w:r w:rsidRPr="002A72C1">
              <w:rPr>
                <w:rFonts w:ascii="Times New Roman" w:hAnsi="Times New Roman"/>
                <w:color w:val="000000"/>
              </w:rPr>
              <w:t xml:space="preserve"> w Ministerstwie Zdrowia, telefon: 22</w:t>
            </w:r>
            <w:r w:rsidR="001F792E">
              <w:rPr>
                <w:rFonts w:ascii="Times New Roman" w:hAnsi="Times New Roman"/>
                <w:color w:val="000000"/>
              </w:rPr>
              <w:t> 634 98 58</w:t>
            </w:r>
            <w:r w:rsidRPr="002A72C1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7B8E4F50" w14:textId="77777777" w:rsidR="006A701A" w:rsidRPr="002A72C1" w:rsidRDefault="002A72C1" w:rsidP="003F6235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2A72C1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3F6235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2A72C1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="003F6235">
              <w:rPr>
                <w:rFonts w:ascii="Times New Roman" w:hAnsi="Times New Roman"/>
                <w:color w:val="000000"/>
                <w:lang w:val="en-US"/>
              </w:rPr>
              <w:t>zadorozna</w:t>
            </w:r>
            <w:r w:rsidRPr="002A72C1">
              <w:rPr>
                <w:rFonts w:ascii="Times New Roman" w:hAnsi="Times New Roman"/>
                <w:color w:val="000000"/>
                <w:lang w:val="en-US"/>
              </w:rPr>
              <w:t>@mz.gov.pl</w:t>
            </w:r>
          </w:p>
        </w:tc>
        <w:tc>
          <w:tcPr>
            <w:tcW w:w="4286" w:type="dxa"/>
            <w:gridSpan w:val="14"/>
            <w:shd w:val="clear" w:color="auto" w:fill="FFFFFF"/>
          </w:tcPr>
          <w:p w14:paraId="1D85B596" w14:textId="387D1747" w:rsidR="001B3460" w:rsidRPr="00074659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74659">
              <w:rPr>
                <w:rFonts w:ascii="Times New Roman" w:hAnsi="Times New Roman"/>
                <w:b/>
              </w:rPr>
              <w:t>Data sporządzenia</w:t>
            </w:r>
            <w:r w:rsidRPr="00074659">
              <w:rPr>
                <w:rFonts w:ascii="Times New Roman" w:hAnsi="Times New Roman"/>
                <w:b/>
              </w:rPr>
              <w:br/>
            </w:r>
            <w:r w:rsidR="007A2DDB">
              <w:rPr>
                <w:rFonts w:ascii="Times New Roman" w:hAnsi="Times New Roman"/>
              </w:rPr>
              <w:t>1</w:t>
            </w:r>
            <w:r w:rsidR="005059AD">
              <w:rPr>
                <w:rFonts w:ascii="Times New Roman" w:hAnsi="Times New Roman"/>
              </w:rPr>
              <w:t>6</w:t>
            </w:r>
            <w:r w:rsidR="00CD0B57">
              <w:rPr>
                <w:rFonts w:ascii="Times New Roman" w:hAnsi="Times New Roman"/>
              </w:rPr>
              <w:t xml:space="preserve"> maja </w:t>
            </w:r>
            <w:r w:rsidR="0077189B">
              <w:rPr>
                <w:rFonts w:ascii="Times New Roman" w:hAnsi="Times New Roman"/>
              </w:rPr>
              <w:t>2023</w:t>
            </w:r>
            <w:r w:rsidR="0077189B" w:rsidRPr="003F6235">
              <w:rPr>
                <w:rFonts w:ascii="Times New Roman" w:hAnsi="Times New Roman"/>
              </w:rPr>
              <w:t xml:space="preserve"> </w:t>
            </w:r>
            <w:r w:rsidR="00D11935" w:rsidRPr="003F6235">
              <w:rPr>
                <w:rFonts w:ascii="Times New Roman" w:hAnsi="Times New Roman"/>
              </w:rPr>
              <w:t>r.</w:t>
            </w:r>
            <w:r w:rsidR="00D11935" w:rsidRPr="00074659">
              <w:rPr>
                <w:rFonts w:ascii="Times New Roman" w:hAnsi="Times New Roman"/>
              </w:rPr>
              <w:t xml:space="preserve"> </w:t>
            </w:r>
          </w:p>
          <w:p w14:paraId="2D940958" w14:textId="77777777" w:rsidR="00F76884" w:rsidRPr="00074659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337443F" w14:textId="77777777" w:rsidR="00F76884" w:rsidRPr="00074659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74659">
              <w:rPr>
                <w:rFonts w:ascii="Times New Roman" w:hAnsi="Times New Roman"/>
                <w:b/>
              </w:rPr>
              <w:t>Źródło:</w:t>
            </w:r>
            <w:bookmarkStart w:id="1" w:name="Lista1"/>
          </w:p>
          <w:bookmarkEnd w:id="1"/>
          <w:p w14:paraId="1A41DF1C" w14:textId="102024DB" w:rsidR="00F76884" w:rsidRPr="00074659" w:rsidRDefault="004B3C14" w:rsidP="00DE0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ustawowe – a</w:t>
            </w:r>
            <w:r w:rsidR="00363981" w:rsidRPr="008E6C65">
              <w:rPr>
                <w:rFonts w:ascii="Times New Roman" w:hAnsi="Times New Roman"/>
              </w:rPr>
              <w:t xml:space="preserve">rt. </w:t>
            </w:r>
            <w:r w:rsidR="008E6C65">
              <w:rPr>
                <w:rFonts w:ascii="Times New Roman" w:hAnsi="Times New Roman"/>
              </w:rPr>
              <w:t xml:space="preserve">444 ust. </w:t>
            </w:r>
            <w:r w:rsidR="00505070">
              <w:rPr>
                <w:rFonts w:ascii="Times New Roman" w:hAnsi="Times New Roman"/>
              </w:rPr>
              <w:br/>
            </w:r>
            <w:r w:rsidR="008E6C65">
              <w:rPr>
                <w:rFonts w:ascii="Times New Roman" w:hAnsi="Times New Roman"/>
              </w:rPr>
              <w:t>2</w:t>
            </w:r>
            <w:r w:rsidR="00363981" w:rsidRPr="008E6C65">
              <w:rPr>
                <w:rFonts w:ascii="Times New Roman" w:hAnsi="Times New Roman"/>
              </w:rPr>
              <w:t xml:space="preserve"> ustawy z dnia </w:t>
            </w:r>
            <w:r w:rsidR="008E6C65">
              <w:rPr>
                <w:rFonts w:ascii="Times New Roman" w:hAnsi="Times New Roman"/>
              </w:rPr>
              <w:t xml:space="preserve">20 </w:t>
            </w:r>
            <w:r w:rsidR="00363981" w:rsidRPr="008E6C65">
              <w:rPr>
                <w:rFonts w:ascii="Times New Roman" w:hAnsi="Times New Roman"/>
              </w:rPr>
              <w:t>lipca 20</w:t>
            </w:r>
            <w:r w:rsidR="008E6C65">
              <w:rPr>
                <w:rFonts w:ascii="Times New Roman" w:hAnsi="Times New Roman"/>
              </w:rPr>
              <w:t>18</w:t>
            </w:r>
            <w:r w:rsidR="00363981" w:rsidRPr="008E6C65">
              <w:rPr>
                <w:rFonts w:ascii="Times New Roman" w:hAnsi="Times New Roman"/>
              </w:rPr>
              <w:t xml:space="preserve"> r. – </w:t>
            </w:r>
            <w:r w:rsidR="008E6C65" w:rsidRPr="008E6C65">
              <w:rPr>
                <w:rFonts w:ascii="Times New Roman" w:hAnsi="Times New Roman"/>
              </w:rPr>
              <w:t>Prawo o</w:t>
            </w:r>
            <w:r>
              <w:rPr>
                <w:rFonts w:ascii="Times New Roman" w:hAnsi="Times New Roman"/>
              </w:rPr>
              <w:t> </w:t>
            </w:r>
            <w:r w:rsidR="008E6C65" w:rsidRPr="008E6C65">
              <w:rPr>
                <w:rFonts w:ascii="Times New Roman" w:hAnsi="Times New Roman"/>
              </w:rPr>
              <w:t>szkolnictwie wyższym i nauce</w:t>
            </w:r>
            <w:r w:rsidR="008E6C65">
              <w:rPr>
                <w:rFonts w:ascii="Times New Roman" w:hAnsi="Times New Roman"/>
              </w:rPr>
              <w:t xml:space="preserve"> </w:t>
            </w:r>
            <w:r w:rsidR="00363981" w:rsidRPr="008E6C65">
              <w:rPr>
                <w:rFonts w:ascii="Times New Roman" w:hAnsi="Times New Roman"/>
              </w:rPr>
              <w:t>(</w:t>
            </w:r>
            <w:r w:rsidR="001E1B21" w:rsidRPr="008E6C65">
              <w:rPr>
                <w:rFonts w:ascii="Times New Roman" w:hAnsi="Times New Roman"/>
              </w:rPr>
              <w:t>Dz. U.</w:t>
            </w:r>
            <w:r w:rsidR="008E6C65">
              <w:rPr>
                <w:rFonts w:ascii="Times New Roman" w:hAnsi="Times New Roman"/>
              </w:rPr>
              <w:t xml:space="preserve"> </w:t>
            </w:r>
            <w:r w:rsidR="0024643F">
              <w:rPr>
                <w:rFonts w:ascii="Times New Roman" w:hAnsi="Times New Roman"/>
              </w:rPr>
              <w:br/>
            </w:r>
            <w:r w:rsidR="00FC3BC7">
              <w:rPr>
                <w:rFonts w:ascii="Times New Roman" w:hAnsi="Times New Roman"/>
              </w:rPr>
              <w:t xml:space="preserve">z </w:t>
            </w:r>
            <w:r w:rsidR="000930DE">
              <w:rPr>
                <w:rFonts w:ascii="Times New Roman" w:hAnsi="Times New Roman"/>
              </w:rPr>
              <w:t>202</w:t>
            </w:r>
            <w:r w:rsidR="00202D1C">
              <w:rPr>
                <w:rFonts w:ascii="Times New Roman" w:hAnsi="Times New Roman"/>
              </w:rPr>
              <w:t>3</w:t>
            </w:r>
            <w:r w:rsidR="0078628A">
              <w:rPr>
                <w:rFonts w:ascii="Times New Roman" w:hAnsi="Times New Roman"/>
              </w:rPr>
              <w:t xml:space="preserve"> r. </w:t>
            </w:r>
            <w:r w:rsidR="008E6C65">
              <w:rPr>
                <w:rFonts w:ascii="Times New Roman" w:hAnsi="Times New Roman"/>
              </w:rPr>
              <w:t>poz.</w:t>
            </w:r>
            <w:r w:rsidR="00F526F0">
              <w:rPr>
                <w:rFonts w:ascii="Times New Roman" w:hAnsi="Times New Roman"/>
              </w:rPr>
              <w:t xml:space="preserve"> </w:t>
            </w:r>
            <w:r w:rsidR="00202D1C">
              <w:rPr>
                <w:rFonts w:ascii="Times New Roman" w:hAnsi="Times New Roman"/>
              </w:rPr>
              <w:t>742</w:t>
            </w:r>
            <w:r w:rsidR="00363981" w:rsidRPr="00DE09D7">
              <w:rPr>
                <w:rFonts w:ascii="Times New Roman" w:hAnsi="Times New Roman"/>
              </w:rPr>
              <w:t>)</w:t>
            </w:r>
          </w:p>
          <w:p w14:paraId="6C18EDD1" w14:textId="77777777" w:rsidR="00F76884" w:rsidRPr="00074659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1368510E" w14:textId="77777777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074659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074659">
              <w:rPr>
                <w:rFonts w:ascii="Times New Roman" w:hAnsi="Times New Roman"/>
                <w:b/>
                <w:color w:val="000000"/>
              </w:rPr>
              <w:t>w</w:t>
            </w:r>
            <w:r w:rsidRPr="00074659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074659">
              <w:rPr>
                <w:rFonts w:ascii="Times New Roman" w:hAnsi="Times New Roman"/>
                <w:b/>
                <w:color w:val="000000"/>
              </w:rPr>
              <w:t>ie</w:t>
            </w:r>
            <w:r w:rsidRPr="00074659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7F4C6E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9429B2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23FA4FBE" w14:textId="5D43AF49" w:rsidR="006A701A" w:rsidRPr="00074659" w:rsidRDefault="00D87AF2" w:rsidP="00563563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C21638">
              <w:rPr>
                <w:rFonts w:ascii="Times New Roman" w:hAnsi="Times New Roman"/>
                <w:b/>
                <w:bCs/>
                <w:color w:val="000000"/>
              </w:rPr>
              <w:t>MZ</w:t>
            </w:r>
            <w:r w:rsidR="007A2AE0" w:rsidRPr="00C2163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372FF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CD0B57">
              <w:rPr>
                <w:rFonts w:ascii="Times New Roman" w:hAnsi="Times New Roman"/>
                <w:b/>
                <w:bCs/>
                <w:color w:val="000000"/>
              </w:rPr>
              <w:t>1520</w:t>
            </w:r>
          </w:p>
        </w:tc>
      </w:tr>
      <w:tr w:rsidR="006A701A" w:rsidRPr="00074659" w14:paraId="08F5976F" w14:textId="77777777" w:rsidTr="00247D45">
        <w:trPr>
          <w:trHeight w:val="142"/>
          <w:jc w:val="center"/>
        </w:trPr>
        <w:tc>
          <w:tcPr>
            <w:tcW w:w="11154" w:type="dxa"/>
            <w:gridSpan w:val="27"/>
            <w:shd w:val="clear" w:color="auto" w:fill="99CCFF"/>
          </w:tcPr>
          <w:p w14:paraId="15A57E93" w14:textId="77777777" w:rsidR="006A701A" w:rsidRPr="00074659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74659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074659" w14:paraId="54665B9F" w14:textId="77777777" w:rsidTr="00247D45">
        <w:trPr>
          <w:trHeight w:val="333"/>
          <w:jc w:val="center"/>
        </w:trPr>
        <w:tc>
          <w:tcPr>
            <w:tcW w:w="11154" w:type="dxa"/>
            <w:gridSpan w:val="27"/>
            <w:shd w:val="clear" w:color="auto" w:fill="99CCFF"/>
            <w:vAlign w:val="center"/>
          </w:tcPr>
          <w:p w14:paraId="50BF427B" w14:textId="77777777" w:rsidR="006A701A" w:rsidRPr="00074659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74659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074659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074659" w14:paraId="275A4775" w14:textId="77777777" w:rsidTr="00247D45">
        <w:trPr>
          <w:trHeight w:val="632"/>
          <w:jc w:val="center"/>
        </w:trPr>
        <w:tc>
          <w:tcPr>
            <w:tcW w:w="11154" w:type="dxa"/>
            <w:gridSpan w:val="27"/>
            <w:shd w:val="clear" w:color="auto" w:fill="FFFFFF"/>
          </w:tcPr>
          <w:p w14:paraId="75D5D506" w14:textId="596E6CA9" w:rsidR="006A701A" w:rsidRPr="00074659" w:rsidRDefault="007F4C6E" w:rsidP="000E495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</w:t>
            </w:r>
            <w:r w:rsidR="00DB14FA" w:rsidRPr="00074659">
              <w:rPr>
                <w:rFonts w:ascii="Times New Roman" w:hAnsi="Times New Roman"/>
                <w:color w:val="000000"/>
              </w:rPr>
              <w:t>rozporządzeni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DB14FA" w:rsidRPr="00074659">
              <w:rPr>
                <w:rFonts w:ascii="Times New Roman" w:hAnsi="Times New Roman"/>
                <w:color w:val="000000"/>
              </w:rPr>
              <w:t xml:space="preserve"> określa limit przyjęć na</w:t>
            </w:r>
            <w:r w:rsidR="008E5CEA">
              <w:rPr>
                <w:rFonts w:ascii="Times New Roman" w:hAnsi="Times New Roman"/>
                <w:color w:val="000000"/>
              </w:rPr>
              <w:t xml:space="preserve"> studia na</w:t>
            </w:r>
            <w:r w:rsidR="00DB14FA"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="008E5CEA" w:rsidRPr="00074659">
              <w:rPr>
                <w:rFonts w:ascii="Times New Roman" w:hAnsi="Times New Roman"/>
                <w:color w:val="000000"/>
              </w:rPr>
              <w:t>kierunk</w:t>
            </w:r>
            <w:r w:rsidR="008E5CEA">
              <w:rPr>
                <w:rFonts w:ascii="Times New Roman" w:hAnsi="Times New Roman"/>
                <w:color w:val="000000"/>
              </w:rPr>
              <w:t>ach</w:t>
            </w:r>
            <w:r w:rsidR="008E5CEA"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="00DB14FA" w:rsidRPr="00074659">
              <w:rPr>
                <w:rFonts w:ascii="Times New Roman" w:hAnsi="Times New Roman"/>
                <w:color w:val="000000"/>
              </w:rPr>
              <w:t>lekarski</w:t>
            </w:r>
            <w:r w:rsidR="008E5CEA">
              <w:rPr>
                <w:rFonts w:ascii="Times New Roman" w:hAnsi="Times New Roman"/>
                <w:color w:val="000000"/>
              </w:rPr>
              <w:t>m</w:t>
            </w:r>
            <w:r w:rsidR="00DB14FA" w:rsidRPr="00074659">
              <w:rPr>
                <w:rFonts w:ascii="Times New Roman" w:hAnsi="Times New Roman"/>
                <w:color w:val="000000"/>
              </w:rPr>
              <w:t xml:space="preserve"> i lekarsko-dentystyczny</w:t>
            </w:r>
            <w:r w:rsidR="008E5CEA">
              <w:rPr>
                <w:rFonts w:ascii="Times New Roman" w:hAnsi="Times New Roman"/>
                <w:color w:val="000000"/>
              </w:rPr>
              <w:t>m</w:t>
            </w:r>
            <w:r w:rsidR="001A2F33">
              <w:rPr>
                <w:rFonts w:ascii="Times New Roman" w:hAnsi="Times New Roman"/>
                <w:color w:val="000000"/>
              </w:rPr>
              <w:t xml:space="preserve"> </w:t>
            </w:r>
            <w:r w:rsidR="005D0595">
              <w:rPr>
                <w:rFonts w:ascii="Times New Roman" w:hAnsi="Times New Roman"/>
                <w:color w:val="000000"/>
              </w:rPr>
              <w:t xml:space="preserve">w roku akademickim </w:t>
            </w:r>
            <w:r w:rsidR="0077189B">
              <w:rPr>
                <w:rFonts w:ascii="Times New Roman" w:hAnsi="Times New Roman"/>
                <w:color w:val="000000"/>
              </w:rPr>
              <w:t>2023</w:t>
            </w:r>
            <w:r w:rsidR="005D0595">
              <w:rPr>
                <w:rFonts w:ascii="Times New Roman" w:hAnsi="Times New Roman"/>
                <w:color w:val="000000"/>
              </w:rPr>
              <w:t>/</w:t>
            </w:r>
            <w:r w:rsidR="0077189B">
              <w:rPr>
                <w:rFonts w:ascii="Times New Roman" w:hAnsi="Times New Roman"/>
                <w:color w:val="000000"/>
              </w:rPr>
              <w:t>2024</w:t>
            </w:r>
            <w:r w:rsidR="00DB14FA" w:rsidRPr="00074659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701A" w:rsidRPr="00074659" w14:paraId="7CCE5CB5" w14:textId="77777777" w:rsidTr="00247D45">
        <w:trPr>
          <w:trHeight w:val="142"/>
          <w:jc w:val="center"/>
        </w:trPr>
        <w:tc>
          <w:tcPr>
            <w:tcW w:w="11154" w:type="dxa"/>
            <w:gridSpan w:val="27"/>
            <w:shd w:val="clear" w:color="auto" w:fill="99CCFF"/>
            <w:vAlign w:val="center"/>
          </w:tcPr>
          <w:p w14:paraId="4D742C25" w14:textId="77777777" w:rsidR="006A701A" w:rsidRPr="00074659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74659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074659" w14:paraId="217184FA" w14:textId="77777777" w:rsidTr="00247D45">
        <w:trPr>
          <w:trHeight w:val="142"/>
          <w:jc w:val="center"/>
        </w:trPr>
        <w:tc>
          <w:tcPr>
            <w:tcW w:w="11154" w:type="dxa"/>
            <w:gridSpan w:val="27"/>
            <w:shd w:val="clear" w:color="auto" w:fill="auto"/>
          </w:tcPr>
          <w:p w14:paraId="13C780B8" w14:textId="73C7A462" w:rsidR="006A701A" w:rsidRPr="006623E2" w:rsidRDefault="00AC724D" w:rsidP="00B37C8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23E2">
              <w:rPr>
                <w:rFonts w:ascii="Times New Roman" w:eastAsia="Times New Roman" w:hAnsi="Times New Roman"/>
                <w:bCs/>
                <w:lang w:eastAsia="pl-PL"/>
              </w:rPr>
              <w:t>Określenie limitu przyjęć na</w:t>
            </w:r>
            <w:r w:rsidR="008E5CEA"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 studia na</w:t>
            </w:r>
            <w:r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 ww. kierunk</w:t>
            </w:r>
            <w:r w:rsidR="009838BF" w:rsidRPr="006623E2">
              <w:rPr>
                <w:rFonts w:ascii="Times New Roman" w:eastAsia="Times New Roman" w:hAnsi="Times New Roman"/>
                <w:bCs/>
                <w:lang w:eastAsia="pl-PL"/>
              </w:rPr>
              <w:t>ach</w:t>
            </w:r>
            <w:r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442F23"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zostało sporządzone </w:t>
            </w:r>
            <w:r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w </w:t>
            </w:r>
            <w:r w:rsidR="007F4C6E"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podziale </w:t>
            </w:r>
            <w:r w:rsidRPr="006623E2">
              <w:rPr>
                <w:rFonts w:ascii="Times New Roman" w:eastAsia="Times New Roman" w:hAnsi="Times New Roman"/>
                <w:bCs/>
                <w:lang w:eastAsia="pl-PL"/>
              </w:rPr>
              <w:t>na jednolite studia magisterskie prowadzone w formie</w:t>
            </w:r>
            <w:r w:rsidR="00FC3BC7"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 studiów</w:t>
            </w:r>
            <w:r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 stacjonarn</w:t>
            </w:r>
            <w:r w:rsidR="00FC3BC7" w:rsidRPr="006623E2">
              <w:rPr>
                <w:rFonts w:ascii="Times New Roman" w:eastAsia="Times New Roman" w:hAnsi="Times New Roman"/>
                <w:bCs/>
                <w:lang w:eastAsia="pl-PL"/>
              </w:rPr>
              <w:t>ych</w:t>
            </w:r>
            <w:r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 w języku polskim, jednolite studia magisterskie prowadzone w formie</w:t>
            </w:r>
            <w:r w:rsidR="00FC3BC7"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 studiów</w:t>
            </w:r>
            <w:r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 niestacjonarn</w:t>
            </w:r>
            <w:r w:rsidR="00FC3BC7" w:rsidRPr="006623E2">
              <w:rPr>
                <w:rFonts w:ascii="Times New Roman" w:eastAsia="Times New Roman" w:hAnsi="Times New Roman"/>
                <w:bCs/>
                <w:lang w:eastAsia="pl-PL"/>
              </w:rPr>
              <w:t>ych</w:t>
            </w:r>
            <w:r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 w języku polskim oraz jednolite studia magisterskie prowadzone w formie</w:t>
            </w:r>
            <w:r w:rsidR="00FC3BC7"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 studiów</w:t>
            </w:r>
            <w:r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FC3BC7" w:rsidRPr="006623E2">
              <w:rPr>
                <w:rFonts w:ascii="Times New Roman" w:eastAsia="Times New Roman" w:hAnsi="Times New Roman"/>
                <w:bCs/>
                <w:lang w:eastAsia="pl-PL"/>
              </w:rPr>
              <w:t>stacjonarnych</w:t>
            </w:r>
            <w:r w:rsidR="007F4C6E"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 lub </w:t>
            </w:r>
            <w:r w:rsidRPr="006623E2">
              <w:rPr>
                <w:rFonts w:ascii="Times New Roman" w:eastAsia="Times New Roman" w:hAnsi="Times New Roman"/>
                <w:bCs/>
                <w:lang w:eastAsia="pl-PL"/>
              </w:rPr>
              <w:t>niestacjonarn</w:t>
            </w:r>
            <w:r w:rsidR="00FC3BC7" w:rsidRPr="006623E2">
              <w:rPr>
                <w:rFonts w:ascii="Times New Roman" w:eastAsia="Times New Roman" w:hAnsi="Times New Roman"/>
                <w:bCs/>
                <w:lang w:eastAsia="pl-PL"/>
              </w:rPr>
              <w:t>ych</w:t>
            </w:r>
            <w:r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 w języku innym niż język polski, z podziałem na uczelnie posiadające uprawnienia do kształcenia </w:t>
            </w:r>
            <w:r w:rsidR="0009113D"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na studiach </w:t>
            </w:r>
            <w:r w:rsidRPr="006623E2">
              <w:rPr>
                <w:rFonts w:ascii="Times New Roman" w:eastAsia="Times New Roman" w:hAnsi="Times New Roman"/>
                <w:bCs/>
                <w:lang w:eastAsia="pl-PL"/>
              </w:rPr>
              <w:t xml:space="preserve">na danym kierunku. </w:t>
            </w:r>
          </w:p>
          <w:p w14:paraId="67A1DB26" w14:textId="77777777" w:rsidR="006C7505" w:rsidRPr="006623E2" w:rsidRDefault="006C7505" w:rsidP="00822028">
            <w:pPr>
              <w:pStyle w:val="ZDANIENASTNOWYWIERSZnpzddrugienowywierszwu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612582" w14:textId="5557802E" w:rsidR="00822028" w:rsidRPr="006623E2" w:rsidRDefault="00822028" w:rsidP="00822028">
            <w:pPr>
              <w:pStyle w:val="ZDANIENASTNOWYWIERSZnpzddrugienowywierszwu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Na </w:t>
            </w:r>
            <w:r w:rsidR="006029AD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studia na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kierunku lekarskim projektowany limit </w:t>
            </w:r>
            <w:r w:rsidR="00A63BA5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przyjęć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ogółem wynosi </w:t>
            </w:r>
            <w:r w:rsidR="00141C46" w:rsidRPr="006623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41C46">
              <w:rPr>
                <w:rFonts w:ascii="Times New Roman" w:hAnsi="Times New Roman" w:cs="Times New Roman"/>
                <w:sz w:val="22"/>
                <w:szCs w:val="22"/>
              </w:rPr>
              <w:t>725</w:t>
            </w:r>
            <w:r w:rsidR="00141C46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>miejsc (w tym</w:t>
            </w:r>
            <w:r w:rsidR="00761510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na jednolitych studiach magisterskich prowadzonych w formie </w:t>
            </w:r>
            <w:r w:rsidR="00FC3BC7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studiów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>stacjonarn</w:t>
            </w:r>
            <w:r w:rsidR="00FC3BC7" w:rsidRPr="006623E2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w języku polskim</w:t>
            </w:r>
            <w:r w:rsidR="006E22C3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dla obywateli polskich </w:t>
            </w:r>
            <w:r w:rsidR="00F674F2" w:rsidRPr="006623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E22C3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304199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cudzoziemców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wynosi </w:t>
            </w:r>
            <w:r w:rsidR="007718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41C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189B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E83231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>miejsc, na jednolitych studiach magisterskich prowadzonych w formie</w:t>
            </w:r>
            <w:r w:rsidR="00FC3BC7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studiów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niestacjonarn</w:t>
            </w:r>
            <w:r w:rsidR="00FC3BC7" w:rsidRPr="006623E2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w języku polskim </w:t>
            </w:r>
            <w:r w:rsidR="00137836" w:rsidRPr="001F568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37836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6B3AC3" w:rsidRPr="006623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B22AA">
              <w:rPr>
                <w:rFonts w:ascii="Times New Roman" w:hAnsi="Times New Roman" w:cs="Times New Roman"/>
                <w:sz w:val="22"/>
                <w:szCs w:val="22"/>
              </w:rPr>
              <w:t>729</w:t>
            </w:r>
            <w:r w:rsidR="00BB22AA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>miejsc oraz na jednolitych studiach magisterskich prowadzonych w formie</w:t>
            </w:r>
            <w:r w:rsidR="00FC3BC7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studiów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stacjonarn</w:t>
            </w:r>
            <w:r w:rsidR="00FC3BC7" w:rsidRPr="006623E2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="007F4C6E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>niestacjonarn</w:t>
            </w:r>
            <w:r w:rsidR="00FC3BC7" w:rsidRPr="006623E2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w języku innym niż język polski</w:t>
            </w:r>
            <w:r w:rsidR="005C12C1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7836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862DB3" w:rsidRPr="001F56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189B" w:rsidRPr="001F568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7189B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>miejsc)</w:t>
            </w:r>
            <w:r w:rsidR="006C7505" w:rsidRPr="006623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4E8CADC" w14:textId="77777777" w:rsidR="006C7505" w:rsidRPr="006623E2" w:rsidRDefault="006C7505" w:rsidP="00822028">
            <w:pPr>
              <w:pStyle w:val="ZDANIENASTNOWYWIERSZnpzddrugienowywierszwu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BB4393" w14:textId="2E586C02" w:rsidR="00045C11" w:rsidRPr="006623E2" w:rsidRDefault="00822028" w:rsidP="00822028">
            <w:pPr>
              <w:pStyle w:val="ZDANIENASTNOWYWIERSZnpzddrugienowywierszwu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Natomiast na </w:t>
            </w:r>
            <w:r w:rsidR="006029AD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studia na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>kierunku lekarsko-dentystycznym projektowany limit</w:t>
            </w:r>
            <w:r w:rsidR="00A63BA5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przyjęć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wynosi </w:t>
            </w:r>
            <w:r w:rsidR="00862DB3" w:rsidRPr="001F56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189B" w:rsidRPr="001F568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7718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>miejsc</w:t>
            </w:r>
            <w:r w:rsidR="00761510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>(w tym na jednolitych studiach magisterskich prowadzonych w formie</w:t>
            </w:r>
            <w:r w:rsidR="00FC3BC7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studiów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stacjonarn</w:t>
            </w:r>
            <w:r w:rsidR="00FC3BC7" w:rsidRPr="006623E2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w języku polskim</w:t>
            </w:r>
            <w:r w:rsidR="006E22C3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dla obywateli polskich i </w:t>
            </w:r>
            <w:r w:rsidR="00304199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cudzoziemców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wynosi </w:t>
            </w:r>
            <w:r w:rsidR="0077189B" w:rsidRPr="001F568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7189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miejsc, na jednolitych studiach magisterskich prowadzonych </w:t>
            </w:r>
            <w:r w:rsidR="00A63BA5" w:rsidRPr="006623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>w formie</w:t>
            </w:r>
            <w:r w:rsidR="00FC3BC7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studiów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niestacjonarn</w:t>
            </w:r>
            <w:r w:rsidR="00FC3BC7" w:rsidRPr="006623E2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w języku polskim</w:t>
            </w:r>
            <w:r w:rsidR="005C12C1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7836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77189B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>miejsc oraz na jednolitych studiach magisterskich prowadzonych w formie</w:t>
            </w:r>
            <w:r w:rsidR="00FC3BC7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studiów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stacjonarn</w:t>
            </w:r>
            <w:r w:rsidR="00FC3BC7" w:rsidRPr="006623E2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lub niestacjonarn</w:t>
            </w:r>
            <w:r w:rsidR="00FC3BC7" w:rsidRPr="006623E2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w języku innym niż język polski </w:t>
            </w:r>
            <w:r w:rsidR="00137836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77189B">
              <w:rPr>
                <w:rFonts w:ascii="Times New Roman" w:hAnsi="Times New Roman" w:cs="Times New Roman"/>
                <w:sz w:val="22"/>
                <w:szCs w:val="22"/>
              </w:rPr>
              <w:t>298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>miejsc</w:t>
            </w:r>
            <w:r w:rsidR="002B027D" w:rsidRPr="006623E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45C11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81C1660" w14:textId="77777777" w:rsidR="006C7505" w:rsidRPr="006623E2" w:rsidRDefault="006C7505" w:rsidP="004D7863">
            <w:pPr>
              <w:pStyle w:val="ZDANIENASTNOWYWIERSZnpzddrugienowywierszwu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932EA6" w14:textId="5FFE51B8" w:rsidR="00822028" w:rsidRPr="006623E2" w:rsidRDefault="00045C11" w:rsidP="004F386E">
            <w:pPr>
              <w:pStyle w:val="ZDANIENASTNOWYWIERSZnpzddrugienowywierszwu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W porównaniu do limitów przyznanych na rok akademicki 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18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F3495" w:rsidRPr="006623E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18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3495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w roku akademickim 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18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18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ogólny limit przyjęć </w:t>
            </w:r>
            <w:r w:rsidR="008E5CEA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na studia </w:t>
            </w:r>
            <w:r w:rsidR="00A35C7A" w:rsidRPr="006623E2">
              <w:rPr>
                <w:rFonts w:ascii="Times New Roman" w:hAnsi="Times New Roman" w:cs="Times New Roman"/>
                <w:sz w:val="22"/>
                <w:szCs w:val="22"/>
              </w:rPr>
              <w:t>na kierunk</w:t>
            </w:r>
            <w:r w:rsidR="00EE325E" w:rsidRPr="006623E2">
              <w:rPr>
                <w:rFonts w:ascii="Times New Roman" w:hAnsi="Times New Roman" w:cs="Times New Roman"/>
                <w:sz w:val="22"/>
                <w:szCs w:val="22"/>
              </w:rPr>
              <w:t>ach</w:t>
            </w:r>
            <w:r w:rsidR="00A35C7A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lekarski</w:t>
            </w:r>
            <w:r w:rsidR="00EE325E" w:rsidRPr="006623E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3A0CB0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i lekarsko-dentystyczny</w:t>
            </w:r>
            <w:r w:rsidR="00EE325E" w:rsidRPr="006623E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A35C7A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628A" w:rsidRPr="006623E2">
              <w:rPr>
                <w:rFonts w:ascii="Times New Roman" w:hAnsi="Times New Roman" w:cs="Times New Roman"/>
                <w:sz w:val="22"/>
                <w:szCs w:val="22"/>
              </w:rPr>
              <w:t>zwiększył się o</w:t>
            </w:r>
            <w:r w:rsidR="00E01537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1C46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  <w:r w:rsidR="00141C46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628A" w:rsidRPr="006623E2">
              <w:rPr>
                <w:rFonts w:ascii="Times New Roman" w:hAnsi="Times New Roman" w:cs="Times New Roman"/>
                <w:sz w:val="22"/>
                <w:szCs w:val="22"/>
              </w:rPr>
              <w:t>miejsc</w:t>
            </w:r>
            <w:r w:rsidR="003A0CB0" w:rsidRPr="006623E2">
              <w:rPr>
                <w:rFonts w:ascii="Times New Roman" w:hAnsi="Times New Roman" w:cs="Times New Roman"/>
                <w:sz w:val="22"/>
                <w:szCs w:val="22"/>
              </w:rPr>
              <w:t>, w tym na</w:t>
            </w:r>
            <w:r w:rsidR="006029AD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studia na</w:t>
            </w:r>
            <w:r w:rsidR="003A0CB0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kierunk</w:t>
            </w:r>
            <w:r w:rsidR="00CB64B7" w:rsidRPr="006623E2">
              <w:rPr>
                <w:rFonts w:ascii="Times New Roman" w:hAnsi="Times New Roman" w:cs="Times New Roman"/>
                <w:sz w:val="22"/>
                <w:szCs w:val="22"/>
              </w:rPr>
              <w:t>ach</w:t>
            </w:r>
            <w:r w:rsidR="003A0CB0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lekarskim i lekarsko</w:t>
            </w:r>
            <w:r w:rsidR="003E7804" w:rsidRPr="006623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A0CB0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dentystycznym na jednolite studia magisterskie prowadzone w formie </w:t>
            </w:r>
            <w:r w:rsidR="00FC3BC7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studiów stacjonarnych </w:t>
            </w:r>
            <w:r w:rsidR="003A0CB0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w języku polskim limit </w:t>
            </w:r>
            <w:r w:rsidR="00F674F2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przyjęć </w:t>
            </w:r>
            <w:r w:rsidR="003A0CB0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został zwiększony o </w:t>
            </w:r>
            <w:r w:rsidR="00141C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7189B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0CB0" w:rsidRPr="006623E2">
              <w:rPr>
                <w:rFonts w:ascii="Times New Roman" w:hAnsi="Times New Roman" w:cs="Times New Roman"/>
                <w:sz w:val="22"/>
                <w:szCs w:val="22"/>
              </w:rPr>
              <w:t>miejs</w:t>
            </w:r>
            <w:r w:rsidR="00701BC9" w:rsidRPr="006623E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3A0CB0" w:rsidRPr="006623E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C7505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0CB0" w:rsidRPr="006623E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5C5819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6029AD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studia na </w:t>
            </w:r>
            <w:r w:rsidR="005C5819" w:rsidRPr="006623E2">
              <w:rPr>
                <w:rFonts w:ascii="Times New Roman" w:hAnsi="Times New Roman" w:cs="Times New Roman"/>
                <w:sz w:val="22"/>
                <w:szCs w:val="22"/>
              </w:rPr>
              <w:t>kierun</w:t>
            </w:r>
            <w:r w:rsidR="008E5CEA" w:rsidRPr="006623E2">
              <w:rPr>
                <w:rFonts w:ascii="Times New Roman" w:hAnsi="Times New Roman" w:cs="Times New Roman"/>
                <w:sz w:val="22"/>
                <w:szCs w:val="22"/>
              </w:rPr>
              <w:t>kach</w:t>
            </w:r>
            <w:r w:rsidR="005C5819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lekarski</w:t>
            </w:r>
            <w:r w:rsidR="008E5CEA" w:rsidRPr="006623E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5C5819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74F2" w:rsidRPr="006623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C5819" w:rsidRPr="006623E2">
              <w:rPr>
                <w:rFonts w:ascii="Times New Roman" w:hAnsi="Times New Roman" w:cs="Times New Roman"/>
                <w:sz w:val="22"/>
                <w:szCs w:val="22"/>
              </w:rPr>
              <w:t>i lekarsko-dentystyczny</w:t>
            </w:r>
            <w:r w:rsidR="008E5CEA" w:rsidRPr="006623E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5C5819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113D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na </w:t>
            </w:r>
            <w:r w:rsidR="005C5819" w:rsidRPr="006623E2">
              <w:rPr>
                <w:rFonts w:ascii="Times New Roman" w:hAnsi="Times New Roman" w:cs="Times New Roman"/>
                <w:sz w:val="22"/>
                <w:szCs w:val="22"/>
              </w:rPr>
              <w:t>jednolitych studi</w:t>
            </w:r>
            <w:r w:rsidR="0009113D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ach </w:t>
            </w:r>
            <w:r w:rsidR="005C5819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magisterskich prowadzonych w formie </w:t>
            </w:r>
            <w:r w:rsidR="00A113E6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studiów niestacjonarnych </w:t>
            </w:r>
            <w:r w:rsidR="00F06113" w:rsidRPr="006623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C5819" w:rsidRPr="006623E2">
              <w:rPr>
                <w:rFonts w:ascii="Times New Roman" w:hAnsi="Times New Roman" w:cs="Times New Roman"/>
                <w:sz w:val="22"/>
                <w:szCs w:val="22"/>
              </w:rPr>
              <w:t>w języku polskim</w:t>
            </w:r>
            <w:r w:rsidR="00A97ABA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limit</w:t>
            </w:r>
            <w:r w:rsidR="00F674F2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przyjęć</w:t>
            </w:r>
            <w:r w:rsidR="00A97ABA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77189B">
              <w:rPr>
                <w:rFonts w:ascii="Times New Roman" w:hAnsi="Times New Roman" w:cs="Times New Roman"/>
                <w:sz w:val="22"/>
                <w:szCs w:val="22"/>
              </w:rPr>
              <w:t>mniejszył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97ABA" w:rsidRPr="006623E2">
              <w:rPr>
                <w:rFonts w:ascii="Times New Roman" w:hAnsi="Times New Roman" w:cs="Times New Roman"/>
                <w:sz w:val="22"/>
                <w:szCs w:val="22"/>
              </w:rPr>
              <w:t>się</w:t>
            </w:r>
            <w:r w:rsidR="005C5819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r w:rsidR="00BB22A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BB22AA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5819" w:rsidRPr="006623E2">
              <w:rPr>
                <w:rFonts w:ascii="Times New Roman" w:hAnsi="Times New Roman" w:cs="Times New Roman"/>
                <w:sz w:val="22"/>
                <w:szCs w:val="22"/>
              </w:rPr>
              <w:t>miejsc</w:t>
            </w:r>
            <w:r w:rsidR="006C7505" w:rsidRPr="006623E2">
              <w:rPr>
                <w:rFonts w:ascii="Times New Roman" w:hAnsi="Times New Roman" w:cs="Times New Roman"/>
                <w:sz w:val="22"/>
                <w:szCs w:val="22"/>
              </w:rPr>
              <w:t>, z</w:t>
            </w:r>
            <w:r w:rsidR="003A0CB0" w:rsidRPr="006623E2">
              <w:rPr>
                <w:rFonts w:ascii="Times New Roman" w:hAnsi="Times New Roman" w:cs="Times New Roman"/>
                <w:sz w:val="22"/>
                <w:szCs w:val="22"/>
              </w:rPr>
              <w:t>aś na</w:t>
            </w:r>
            <w:r w:rsidR="00A0746D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7238C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jednolitych studiach magisterskich </w:t>
            </w:r>
            <w:r w:rsidR="002B027D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prowadzonych </w:t>
            </w:r>
            <w:r w:rsidR="00A7238C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w formie studiów stacjonarnych </w:t>
            </w:r>
            <w:r w:rsidR="004F386E" w:rsidRPr="006623E2"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  <w:r w:rsidR="00A7238C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niestacjonarnych</w:t>
            </w:r>
            <w:r w:rsidR="00A0746D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w języku innym niż język polski </w:t>
            </w:r>
            <w:r w:rsidR="0009113D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limit przyjęć </w:t>
            </w:r>
            <w:r w:rsidR="00A0746D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uległ </w:t>
            </w:r>
            <w:r w:rsidR="0077189B">
              <w:rPr>
                <w:rFonts w:ascii="Times New Roman" w:hAnsi="Times New Roman" w:cs="Times New Roman"/>
                <w:sz w:val="22"/>
                <w:szCs w:val="22"/>
              </w:rPr>
              <w:t>zmniejszył się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746D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łącznie o </w:t>
            </w:r>
            <w:r w:rsidR="0077189B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77189B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746D" w:rsidRPr="006623E2">
              <w:rPr>
                <w:rFonts w:ascii="Times New Roman" w:hAnsi="Times New Roman" w:cs="Times New Roman"/>
                <w:sz w:val="22"/>
                <w:szCs w:val="22"/>
              </w:rPr>
              <w:t>miejsc</w:t>
            </w:r>
            <w:r w:rsidR="0027748E" w:rsidRPr="006623E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6A701A" w:rsidRPr="00074659" w14:paraId="7CC2E887" w14:textId="77777777" w:rsidTr="00247D45">
        <w:trPr>
          <w:trHeight w:val="307"/>
          <w:jc w:val="center"/>
        </w:trPr>
        <w:tc>
          <w:tcPr>
            <w:tcW w:w="11154" w:type="dxa"/>
            <w:gridSpan w:val="27"/>
            <w:shd w:val="clear" w:color="auto" w:fill="99CCFF"/>
            <w:vAlign w:val="center"/>
          </w:tcPr>
          <w:p w14:paraId="1B07292A" w14:textId="77777777" w:rsidR="006A701A" w:rsidRPr="00074659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74659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074659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074659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074659" w14:paraId="53D9A0A2" w14:textId="77777777" w:rsidTr="00247D45">
        <w:trPr>
          <w:trHeight w:val="142"/>
          <w:jc w:val="center"/>
        </w:trPr>
        <w:tc>
          <w:tcPr>
            <w:tcW w:w="11154" w:type="dxa"/>
            <w:gridSpan w:val="27"/>
            <w:shd w:val="clear" w:color="auto" w:fill="auto"/>
          </w:tcPr>
          <w:p w14:paraId="5C5F6CB1" w14:textId="77777777" w:rsidR="006A701A" w:rsidRPr="00074659" w:rsidRDefault="00B47D3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7F4C6E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>stanowi domenę prawa krajowego.</w:t>
            </w:r>
          </w:p>
        </w:tc>
      </w:tr>
      <w:tr w:rsidR="006A701A" w:rsidRPr="00074659" w14:paraId="5F538A94" w14:textId="77777777" w:rsidTr="00247D45">
        <w:trPr>
          <w:trHeight w:val="359"/>
          <w:jc w:val="center"/>
        </w:trPr>
        <w:tc>
          <w:tcPr>
            <w:tcW w:w="11154" w:type="dxa"/>
            <w:gridSpan w:val="27"/>
            <w:shd w:val="clear" w:color="auto" w:fill="99CCFF"/>
            <w:vAlign w:val="center"/>
          </w:tcPr>
          <w:p w14:paraId="5EF45AFD" w14:textId="77777777" w:rsidR="006A701A" w:rsidRPr="00074659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74659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074659" w14:paraId="4FA59FBF" w14:textId="77777777" w:rsidTr="00247D45">
        <w:trPr>
          <w:trHeight w:val="142"/>
          <w:jc w:val="center"/>
        </w:trPr>
        <w:tc>
          <w:tcPr>
            <w:tcW w:w="2661" w:type="dxa"/>
            <w:gridSpan w:val="3"/>
            <w:shd w:val="clear" w:color="auto" w:fill="auto"/>
          </w:tcPr>
          <w:p w14:paraId="22F83479" w14:textId="77777777" w:rsidR="00260F33" w:rsidRPr="0007465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56" w:type="dxa"/>
            <w:gridSpan w:val="5"/>
            <w:shd w:val="clear" w:color="auto" w:fill="auto"/>
          </w:tcPr>
          <w:p w14:paraId="2701BE3B" w14:textId="77777777" w:rsidR="00260F33" w:rsidRPr="00074659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540" w:type="dxa"/>
            <w:gridSpan w:val="11"/>
            <w:shd w:val="clear" w:color="auto" w:fill="auto"/>
          </w:tcPr>
          <w:p w14:paraId="08EBA0B9" w14:textId="77777777" w:rsidR="00260F33" w:rsidRPr="0007465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74659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697" w:type="dxa"/>
            <w:gridSpan w:val="8"/>
            <w:shd w:val="clear" w:color="auto" w:fill="auto"/>
          </w:tcPr>
          <w:p w14:paraId="52819107" w14:textId="77777777" w:rsidR="00260F33" w:rsidRPr="0007465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074659" w14:paraId="7907E64C" w14:textId="77777777" w:rsidTr="00247D45">
        <w:trPr>
          <w:trHeight w:val="1808"/>
          <w:jc w:val="center"/>
        </w:trPr>
        <w:tc>
          <w:tcPr>
            <w:tcW w:w="2661" w:type="dxa"/>
            <w:gridSpan w:val="3"/>
            <w:shd w:val="clear" w:color="auto" w:fill="auto"/>
          </w:tcPr>
          <w:p w14:paraId="1FEE32F0" w14:textId="597241DC" w:rsidR="00260F33" w:rsidRPr="00666E76" w:rsidRDefault="001D3E2B" w:rsidP="001D3E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66E76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Uczelnie posiadające uprawnienia do </w:t>
            </w:r>
            <w:r w:rsidR="004C03AB">
              <w:rPr>
                <w:rFonts w:ascii="Times New Roman" w:hAnsi="Times New Roman"/>
                <w:color w:val="000000"/>
                <w:spacing w:val="-2"/>
              </w:rPr>
              <w:t xml:space="preserve">prowadzenia studiów </w:t>
            </w:r>
            <w:r w:rsidR="004B3C14">
              <w:rPr>
                <w:rFonts w:ascii="Times New Roman" w:hAnsi="Times New Roman"/>
                <w:color w:val="000000"/>
                <w:spacing w:val="-2"/>
              </w:rPr>
              <w:t xml:space="preserve">na </w:t>
            </w:r>
            <w:r w:rsidR="004B3C14" w:rsidRPr="00666E76">
              <w:rPr>
                <w:rFonts w:ascii="Times New Roman" w:hAnsi="Times New Roman"/>
                <w:color w:val="000000"/>
                <w:spacing w:val="-2"/>
              </w:rPr>
              <w:t>kierunk</w:t>
            </w:r>
            <w:r w:rsidR="004B3C14">
              <w:rPr>
                <w:rFonts w:ascii="Times New Roman" w:hAnsi="Times New Roman"/>
                <w:color w:val="000000"/>
                <w:spacing w:val="-2"/>
              </w:rPr>
              <w:t xml:space="preserve">ach </w:t>
            </w:r>
            <w:r w:rsidRPr="00666E76">
              <w:rPr>
                <w:rFonts w:ascii="Times New Roman" w:hAnsi="Times New Roman"/>
                <w:color w:val="000000"/>
                <w:spacing w:val="-2"/>
              </w:rPr>
              <w:t>lekarskim lub lekarsko-dentystycznym</w:t>
            </w:r>
          </w:p>
          <w:p w14:paraId="1024DEC8" w14:textId="77777777" w:rsidR="00DA589A" w:rsidRPr="00666E76" w:rsidRDefault="00DA589A" w:rsidP="008440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56" w:type="dxa"/>
            <w:gridSpan w:val="5"/>
            <w:shd w:val="clear" w:color="auto" w:fill="auto"/>
          </w:tcPr>
          <w:p w14:paraId="71835DF8" w14:textId="3EBAF4B8" w:rsidR="00DA589A" w:rsidRPr="00666E76" w:rsidRDefault="00141C46" w:rsidP="004B3C1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29</w:t>
            </w:r>
            <w:r w:rsidRPr="00666E76">
              <w:rPr>
                <w:rFonts w:ascii="Times New Roman" w:hAnsi="Times New Roman"/>
                <w:spacing w:val="-2"/>
              </w:rPr>
              <w:t xml:space="preserve"> </w:t>
            </w:r>
            <w:r w:rsidR="00E8291F" w:rsidRPr="00666E76">
              <w:rPr>
                <w:rFonts w:ascii="Times New Roman" w:hAnsi="Times New Roman"/>
                <w:spacing w:val="-2"/>
              </w:rPr>
              <w:t>uczelni</w:t>
            </w:r>
            <w:r w:rsidR="004F386E">
              <w:rPr>
                <w:rFonts w:ascii="Times New Roman" w:hAnsi="Times New Roman"/>
                <w:spacing w:val="-2"/>
              </w:rPr>
              <w:t>e</w:t>
            </w:r>
            <w:r w:rsidR="00E8291F" w:rsidRPr="00666E76">
              <w:rPr>
                <w:rFonts w:ascii="Times New Roman" w:hAnsi="Times New Roman"/>
                <w:spacing w:val="-2"/>
              </w:rPr>
              <w:t xml:space="preserve"> (w tym </w:t>
            </w:r>
            <w:r>
              <w:rPr>
                <w:rFonts w:ascii="Times New Roman" w:hAnsi="Times New Roman"/>
                <w:spacing w:val="-2"/>
              </w:rPr>
              <w:t>11</w:t>
            </w:r>
            <w:r w:rsidRPr="00666E76">
              <w:rPr>
                <w:rFonts w:ascii="Times New Roman" w:hAnsi="Times New Roman"/>
                <w:spacing w:val="-2"/>
              </w:rPr>
              <w:t xml:space="preserve"> </w:t>
            </w:r>
            <w:r w:rsidR="00E8291F" w:rsidRPr="00666E76">
              <w:rPr>
                <w:rFonts w:ascii="Times New Roman" w:hAnsi="Times New Roman"/>
                <w:spacing w:val="-2"/>
              </w:rPr>
              <w:t xml:space="preserve">nadzorowanych przez </w:t>
            </w:r>
            <w:r w:rsidR="004B3C14">
              <w:rPr>
                <w:rFonts w:ascii="Times New Roman" w:hAnsi="Times New Roman"/>
                <w:spacing w:val="-2"/>
              </w:rPr>
              <w:t>m</w:t>
            </w:r>
            <w:r w:rsidR="00E8291F" w:rsidRPr="00666E76">
              <w:rPr>
                <w:rFonts w:ascii="Times New Roman" w:hAnsi="Times New Roman"/>
                <w:spacing w:val="-2"/>
              </w:rPr>
              <w:t>inistra</w:t>
            </w:r>
            <w:r w:rsidR="00ED193A">
              <w:rPr>
                <w:rFonts w:ascii="Times New Roman" w:hAnsi="Times New Roman"/>
                <w:spacing w:val="-2"/>
              </w:rPr>
              <w:t xml:space="preserve"> właściwego do spraw</w:t>
            </w:r>
            <w:r w:rsidR="00E8291F" w:rsidRPr="00666E76">
              <w:rPr>
                <w:rFonts w:ascii="Times New Roman" w:hAnsi="Times New Roman"/>
                <w:spacing w:val="-2"/>
              </w:rPr>
              <w:t xml:space="preserve"> </w:t>
            </w:r>
            <w:r w:rsidR="00ED193A">
              <w:rPr>
                <w:rFonts w:ascii="Times New Roman" w:hAnsi="Times New Roman"/>
                <w:spacing w:val="-2"/>
              </w:rPr>
              <w:t>z</w:t>
            </w:r>
            <w:r w:rsidR="00E8291F" w:rsidRPr="00666E76">
              <w:rPr>
                <w:rFonts w:ascii="Times New Roman" w:hAnsi="Times New Roman"/>
                <w:spacing w:val="-2"/>
              </w:rPr>
              <w:t xml:space="preserve">drowia) </w:t>
            </w:r>
          </w:p>
        </w:tc>
        <w:tc>
          <w:tcPr>
            <w:tcW w:w="3540" w:type="dxa"/>
            <w:gridSpan w:val="11"/>
            <w:shd w:val="clear" w:color="auto" w:fill="auto"/>
          </w:tcPr>
          <w:p w14:paraId="57B8DF97" w14:textId="102B421A" w:rsidR="00DA589A" w:rsidRPr="00074659" w:rsidRDefault="00F310F4" w:rsidP="00DD7E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Minister Zdrowia, Minister </w:t>
            </w:r>
            <w:r w:rsidR="00E2442C">
              <w:rPr>
                <w:rFonts w:ascii="Times New Roman" w:hAnsi="Times New Roman"/>
                <w:color w:val="000000"/>
                <w:spacing w:val="-2"/>
              </w:rPr>
              <w:t xml:space="preserve">Edukacji </w:t>
            </w:r>
            <w:r w:rsidR="00E84EFE">
              <w:rPr>
                <w:rFonts w:ascii="Times New Roman" w:hAnsi="Times New Roman"/>
                <w:color w:val="000000"/>
                <w:spacing w:val="-2"/>
              </w:rPr>
              <w:br/>
            </w:r>
            <w:r w:rsidR="00E2442C"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>
              <w:rPr>
                <w:rFonts w:ascii="Times New Roman" w:hAnsi="Times New Roman"/>
                <w:color w:val="000000"/>
                <w:spacing w:val="-2"/>
              </w:rPr>
              <w:t>Nauki</w:t>
            </w:r>
          </w:p>
        </w:tc>
        <w:tc>
          <w:tcPr>
            <w:tcW w:w="2697" w:type="dxa"/>
            <w:gridSpan w:val="8"/>
            <w:shd w:val="clear" w:color="auto" w:fill="auto"/>
          </w:tcPr>
          <w:p w14:paraId="6A667E4B" w14:textId="33A1BD5B" w:rsidR="002557E2" w:rsidRPr="00074659" w:rsidRDefault="00270ECB" w:rsidP="00F749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  <w:spacing w:val="-2"/>
              </w:rPr>
              <w:t>Bezpośrednie – określenie, jaką liczbę studentów dana uczelnia moż</w:t>
            </w:r>
            <w:r w:rsidR="00374DB4">
              <w:rPr>
                <w:rFonts w:ascii="Times New Roman" w:hAnsi="Times New Roman"/>
                <w:color w:val="000000"/>
                <w:spacing w:val="-2"/>
              </w:rPr>
              <w:t>e przyjąć na rok akademic</w:t>
            </w:r>
            <w:r w:rsidR="001E1B21">
              <w:rPr>
                <w:rFonts w:ascii="Times New Roman" w:hAnsi="Times New Roman"/>
                <w:color w:val="000000"/>
                <w:spacing w:val="-2"/>
              </w:rPr>
              <w:t xml:space="preserve">ki </w:t>
            </w:r>
            <w:r w:rsidR="0019323D">
              <w:rPr>
                <w:rFonts w:ascii="Times New Roman" w:hAnsi="Times New Roman"/>
                <w:color w:val="000000"/>
                <w:spacing w:val="-2"/>
              </w:rPr>
              <w:t>2023</w:t>
            </w:r>
            <w:r w:rsidR="005D0595">
              <w:rPr>
                <w:rFonts w:ascii="Times New Roman" w:hAnsi="Times New Roman"/>
                <w:color w:val="000000"/>
                <w:spacing w:val="-2"/>
              </w:rPr>
              <w:t>/</w:t>
            </w:r>
            <w:r w:rsidR="0019323D">
              <w:rPr>
                <w:rFonts w:ascii="Times New Roman" w:hAnsi="Times New Roman"/>
                <w:color w:val="000000"/>
                <w:spacing w:val="-2"/>
              </w:rPr>
              <w:t xml:space="preserve">2024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 xml:space="preserve">na </w:t>
            </w:r>
            <w:r w:rsidR="006029AD">
              <w:rPr>
                <w:rFonts w:ascii="Times New Roman" w:hAnsi="Times New Roman"/>
                <w:color w:val="000000"/>
                <w:spacing w:val="-2"/>
              </w:rPr>
              <w:t xml:space="preserve">studia na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>kierunk</w:t>
            </w:r>
            <w:r w:rsidR="006029AD">
              <w:rPr>
                <w:rFonts w:ascii="Times New Roman" w:hAnsi="Times New Roman"/>
                <w:color w:val="000000"/>
                <w:spacing w:val="-2"/>
              </w:rPr>
              <w:t>ach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 xml:space="preserve"> lekarski</w:t>
            </w:r>
            <w:r w:rsidR="006029AD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C12C1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>i lekarsko-dentystyczny</w:t>
            </w:r>
            <w:r w:rsidR="006029AD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8440C2" w:rsidRPr="00074659" w14:paraId="57624011" w14:textId="77777777" w:rsidTr="00247D45">
        <w:trPr>
          <w:trHeight w:val="3240"/>
          <w:jc w:val="center"/>
        </w:trPr>
        <w:tc>
          <w:tcPr>
            <w:tcW w:w="2661" w:type="dxa"/>
            <w:gridSpan w:val="3"/>
            <w:shd w:val="clear" w:color="auto" w:fill="auto"/>
          </w:tcPr>
          <w:p w14:paraId="3F1AF6C2" w14:textId="41630FA8" w:rsidR="008440C2" w:rsidRPr="00074659" w:rsidRDefault="008440C2" w:rsidP="00442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A589A">
              <w:rPr>
                <w:rFonts w:ascii="Times New Roman" w:hAnsi="Times New Roman"/>
                <w:color w:val="000000"/>
                <w:spacing w:val="-2"/>
              </w:rPr>
              <w:t xml:space="preserve">Kandydaci na studia na </w:t>
            </w:r>
            <w:r w:rsidR="00442F23" w:rsidRPr="00DA589A">
              <w:rPr>
                <w:rFonts w:ascii="Times New Roman" w:hAnsi="Times New Roman"/>
                <w:color w:val="000000"/>
                <w:spacing w:val="-2"/>
              </w:rPr>
              <w:t>kierunk</w:t>
            </w:r>
            <w:r w:rsidR="00442F23">
              <w:rPr>
                <w:rFonts w:ascii="Times New Roman" w:hAnsi="Times New Roman"/>
                <w:color w:val="000000"/>
                <w:spacing w:val="-2"/>
              </w:rPr>
              <w:t>ach</w:t>
            </w:r>
            <w:r w:rsidR="00442F23" w:rsidRPr="00DA589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A589A">
              <w:rPr>
                <w:rFonts w:ascii="Times New Roman" w:hAnsi="Times New Roman"/>
                <w:color w:val="000000"/>
                <w:spacing w:val="-2"/>
              </w:rPr>
              <w:t xml:space="preserve">lekarskim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DA589A">
              <w:rPr>
                <w:rFonts w:ascii="Times New Roman" w:hAnsi="Times New Roman"/>
                <w:color w:val="000000"/>
                <w:spacing w:val="-2"/>
              </w:rPr>
              <w:t>i lekarsko-dentystyczny</w:t>
            </w:r>
            <w:r>
              <w:rPr>
                <w:rFonts w:ascii="Times New Roman" w:hAnsi="Times New Roman"/>
                <w:color w:val="000000"/>
                <w:spacing w:val="-2"/>
              </w:rPr>
              <w:t>m</w:t>
            </w:r>
          </w:p>
        </w:tc>
        <w:tc>
          <w:tcPr>
            <w:tcW w:w="2256" w:type="dxa"/>
            <w:gridSpan w:val="5"/>
            <w:shd w:val="clear" w:color="auto" w:fill="auto"/>
          </w:tcPr>
          <w:p w14:paraId="087941C7" w14:textId="7C70402E" w:rsidR="008440C2" w:rsidRDefault="00AF320C" w:rsidP="008440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  <w:r w:rsidR="008440C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540" w:type="dxa"/>
            <w:gridSpan w:val="11"/>
            <w:shd w:val="clear" w:color="auto" w:fill="auto"/>
          </w:tcPr>
          <w:p w14:paraId="2EDD25D8" w14:textId="77777777" w:rsidR="008440C2" w:rsidRPr="00074659" w:rsidRDefault="008440C2" w:rsidP="008440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Dane statystyczne z uczelni medycznych </w:t>
            </w:r>
          </w:p>
        </w:tc>
        <w:tc>
          <w:tcPr>
            <w:tcW w:w="2697" w:type="dxa"/>
            <w:gridSpan w:val="8"/>
            <w:shd w:val="clear" w:color="auto" w:fill="auto"/>
          </w:tcPr>
          <w:p w14:paraId="75018BEF" w14:textId="4075EE72" w:rsidR="008440C2" w:rsidRPr="00074659" w:rsidRDefault="008440C2" w:rsidP="004B3C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Niemożliwe jest określenie przed rekrutacją na studia</w:t>
            </w:r>
            <w:r w:rsidR="00D5275F">
              <w:rPr>
                <w:rFonts w:ascii="Times New Roman" w:hAnsi="Times New Roman"/>
                <w:color w:val="000000"/>
                <w:spacing w:val="-2"/>
              </w:rPr>
              <w:t xml:space="preserve"> na kierunkach lekarskim i lekarsko-dentystycznym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310F4">
              <w:rPr>
                <w:rFonts w:ascii="Times New Roman" w:hAnsi="Times New Roman"/>
                <w:color w:val="000000"/>
                <w:spacing w:val="-2"/>
              </w:rPr>
              <w:t>liczby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osób kandydujących na dany rok akademicki. Spowodowane jest to faktem, iż </w:t>
            </w:r>
            <w:r w:rsidRPr="00DA589A">
              <w:rPr>
                <w:rFonts w:ascii="Times New Roman" w:hAnsi="Times New Roman"/>
                <w:color w:val="000000"/>
                <w:spacing w:val="-2"/>
              </w:rPr>
              <w:t xml:space="preserve">kandydaci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  <w:t xml:space="preserve">aplikują </w:t>
            </w:r>
            <w:r w:rsidR="004B3C14">
              <w:rPr>
                <w:rFonts w:ascii="Times New Roman" w:hAnsi="Times New Roman"/>
                <w:color w:val="000000"/>
                <w:spacing w:val="-2"/>
              </w:rPr>
              <w:t xml:space="preserve">jednocześnie </w:t>
            </w:r>
            <w:r w:rsidR="00505070">
              <w:rPr>
                <w:rFonts w:ascii="Times New Roman" w:hAnsi="Times New Roman"/>
                <w:color w:val="000000"/>
                <w:spacing w:val="-2"/>
              </w:rPr>
              <w:br/>
            </w:r>
            <w:r w:rsidR="00E36793">
              <w:rPr>
                <w:rFonts w:ascii="Times New Roman" w:hAnsi="Times New Roman"/>
                <w:color w:val="000000"/>
                <w:spacing w:val="-2"/>
              </w:rPr>
              <w:t>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wiel</w:t>
            </w:r>
            <w:r w:rsidR="00E36793">
              <w:rPr>
                <w:rFonts w:ascii="Times New Roman" w:hAnsi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uczelni</w:t>
            </w:r>
            <w:r w:rsidR="00E36793">
              <w:rPr>
                <w:rFonts w:ascii="Times New Roman" w:hAnsi="Times New Roman"/>
                <w:color w:val="000000"/>
                <w:spacing w:val="-2"/>
              </w:rPr>
              <w:t>ach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E5CEA">
              <w:rPr>
                <w:rFonts w:ascii="Times New Roman" w:hAnsi="Times New Roman"/>
                <w:color w:val="000000"/>
                <w:spacing w:val="-2"/>
              </w:rPr>
              <w:t>na ten sam kierunek</w:t>
            </w:r>
            <w:r w:rsidR="004B3C14">
              <w:rPr>
                <w:rFonts w:ascii="Times New Roman" w:hAnsi="Times New Roman"/>
                <w:color w:val="000000"/>
                <w:spacing w:val="-2"/>
              </w:rPr>
              <w:t xml:space="preserve"> studiów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F310F4">
              <w:rPr>
                <w:rFonts w:ascii="Times New Roman" w:hAnsi="Times New Roman"/>
                <w:color w:val="000000"/>
                <w:spacing w:val="-2"/>
              </w:rPr>
              <w:t xml:space="preserve">Statystycznie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na 1 miejsce na studiach </w:t>
            </w:r>
            <w:r w:rsidR="004B3C14">
              <w:rPr>
                <w:rFonts w:ascii="Times New Roman" w:hAnsi="Times New Roman"/>
                <w:color w:val="000000"/>
                <w:spacing w:val="-2"/>
              </w:rPr>
              <w:t xml:space="preserve">na </w:t>
            </w:r>
            <w:r w:rsidR="00D5275F">
              <w:rPr>
                <w:rFonts w:ascii="Times New Roman" w:hAnsi="Times New Roman"/>
                <w:color w:val="000000"/>
                <w:spacing w:val="-2"/>
              </w:rPr>
              <w:t>ww. kierunk</w:t>
            </w:r>
            <w:r w:rsidR="004C03AB">
              <w:rPr>
                <w:rFonts w:ascii="Times New Roman" w:hAnsi="Times New Roman"/>
                <w:color w:val="000000"/>
                <w:spacing w:val="-2"/>
              </w:rPr>
              <w:t>ach</w:t>
            </w:r>
            <w:r w:rsidR="00D5275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kandyduje średnio kilkanaście osób. </w:t>
            </w:r>
          </w:p>
        </w:tc>
      </w:tr>
      <w:tr w:rsidR="006A701A" w:rsidRPr="00074659" w14:paraId="1EC33267" w14:textId="77777777" w:rsidTr="00247D45">
        <w:trPr>
          <w:trHeight w:val="302"/>
          <w:jc w:val="center"/>
        </w:trPr>
        <w:tc>
          <w:tcPr>
            <w:tcW w:w="11154" w:type="dxa"/>
            <w:gridSpan w:val="27"/>
            <w:shd w:val="clear" w:color="auto" w:fill="99CCFF"/>
            <w:vAlign w:val="center"/>
          </w:tcPr>
          <w:p w14:paraId="6F40A9E9" w14:textId="77777777" w:rsidR="006A701A" w:rsidRPr="00074659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74659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074659">
              <w:rPr>
                <w:rFonts w:ascii="Times New Roman" w:hAnsi="Times New Roman"/>
                <w:b/>
                <w:color w:val="000000"/>
              </w:rPr>
              <w:t>,</w:t>
            </w:r>
            <w:r w:rsidRPr="00074659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074659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074659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074659" w14:paraId="0D933569" w14:textId="77777777" w:rsidTr="00247D45">
        <w:trPr>
          <w:trHeight w:val="342"/>
          <w:jc w:val="center"/>
        </w:trPr>
        <w:tc>
          <w:tcPr>
            <w:tcW w:w="11154" w:type="dxa"/>
            <w:gridSpan w:val="27"/>
            <w:shd w:val="clear" w:color="auto" w:fill="FFFFFF"/>
          </w:tcPr>
          <w:p w14:paraId="41715C7B" w14:textId="77777777" w:rsidR="008644B9" w:rsidRDefault="00A47202" w:rsidP="008644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0D3C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7F4C6E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200D3C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="00363981" w:rsidRPr="00200D3C">
              <w:rPr>
                <w:rFonts w:ascii="Times New Roman" w:hAnsi="Times New Roman"/>
                <w:color w:val="000000"/>
                <w:spacing w:val="-2"/>
              </w:rPr>
              <w:t xml:space="preserve"> był</w:t>
            </w:r>
            <w:r w:rsidR="008644B9">
              <w:rPr>
                <w:rFonts w:ascii="Times New Roman" w:hAnsi="Times New Roman"/>
                <w:color w:val="000000"/>
                <w:spacing w:val="-2"/>
              </w:rPr>
              <w:t xml:space="preserve"> skierowany do pre-konsultacji. </w:t>
            </w:r>
          </w:p>
          <w:p w14:paraId="234BB6B3" w14:textId="51B1148B" w:rsidR="003A7C94" w:rsidRDefault="003A7C94" w:rsidP="003A7C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B23380">
              <w:rPr>
                <w:rFonts w:ascii="Times New Roman" w:hAnsi="Times New Roman"/>
                <w:color w:val="000000"/>
                <w:spacing w:val="-2"/>
              </w:rPr>
              <w:t xml:space="preserve">rojekt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DE09D7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Pr="00B23380">
              <w:rPr>
                <w:rFonts w:ascii="Times New Roman" w:hAnsi="Times New Roman"/>
                <w:color w:val="000000"/>
                <w:spacing w:val="-2"/>
              </w:rPr>
              <w:t xml:space="preserve"> przesłany do konsultacji publicznych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 opiniowania </w:t>
            </w:r>
            <w:r w:rsidR="00CC1B86">
              <w:rPr>
                <w:rFonts w:ascii="Times New Roman" w:hAnsi="Times New Roman"/>
                <w:color w:val="000000"/>
                <w:spacing w:val="-2"/>
              </w:rPr>
              <w:t xml:space="preserve">z terminem do dnia 31 maja 2023 r. do </w:t>
            </w:r>
            <w:r>
              <w:rPr>
                <w:rFonts w:ascii="Times New Roman" w:hAnsi="Times New Roman"/>
                <w:color w:val="000000"/>
                <w:spacing w:val="-2"/>
              </w:rPr>
              <w:t>następujących podmiotów</w:t>
            </w:r>
            <w:r w:rsidRPr="00B23380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2FB43E79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Centrum Egzaminów Medycznych;</w:t>
            </w:r>
          </w:p>
          <w:p w14:paraId="30CD6B18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Centrum e-Zdrowia;</w:t>
            </w:r>
          </w:p>
          <w:p w14:paraId="539247F7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Centrum Medyczne Kształcenia Podyplomowego;</w:t>
            </w:r>
          </w:p>
          <w:p w14:paraId="2DDFBD2D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Konferencja Rektorów Akademickich Uczelni Medycznych;</w:t>
            </w:r>
          </w:p>
          <w:p w14:paraId="7B693725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5)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Rektorzy uczelni prowadzących kształcenie na kierunku lekarskim lub lekarsko– dentystycznym;</w:t>
            </w:r>
          </w:p>
          <w:p w14:paraId="0E757171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6)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Naczelna Rada Lekarska;</w:t>
            </w:r>
          </w:p>
          <w:p w14:paraId="4A8DBE36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7)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Naczelna Rada Pielęgniarek i Położnych;</w:t>
            </w:r>
          </w:p>
          <w:p w14:paraId="3AC7065E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8)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Naczelna Rada Aptekarska;</w:t>
            </w:r>
          </w:p>
          <w:p w14:paraId="004C1B72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9)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Krajowa Rada Diagnostów Laboratoryjnych;</w:t>
            </w:r>
          </w:p>
          <w:p w14:paraId="02C588FC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10)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Krajowa Rada Fizjoterapeutów;</w:t>
            </w:r>
          </w:p>
          <w:p w14:paraId="6F24D13C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11)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 xml:space="preserve">Rada Dialogu Społecznego; </w:t>
            </w:r>
          </w:p>
          <w:p w14:paraId="727BE105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12)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Krajowy Sekretariat Ochrony Zdrowia NSZZ „Solidarność 80”;</w:t>
            </w:r>
          </w:p>
          <w:p w14:paraId="15746EEF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13)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Krajowy Sekretariat Komisji Krajowej NSZZ „Solidarność”;</w:t>
            </w:r>
          </w:p>
          <w:p w14:paraId="2ED092E1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14)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Komisja Krajowej NSZZ „Solidarność”;</w:t>
            </w:r>
          </w:p>
          <w:p w14:paraId="129F833B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15)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Porozumienie Pracodawców Ochrony Zdrowia;</w:t>
            </w:r>
          </w:p>
          <w:p w14:paraId="0C7A1879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16)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Pracodawcy Rzeczypospolitej Polskiej;</w:t>
            </w:r>
          </w:p>
          <w:p w14:paraId="4309899D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17)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Pracodawcy Rzeczypospolitej Polskiej Konfederacji „Lewiatan”;</w:t>
            </w:r>
          </w:p>
          <w:p w14:paraId="5FF11397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18)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Federacja Związków Pracodawców Ochrony Zdrowia „Porozumienie Zielonogórskie”;</w:t>
            </w:r>
          </w:p>
          <w:p w14:paraId="3E89739A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19)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Wielkopolski Związek Pracodawców Ochrony Zdrowia „Porozumienie Zielonogórskie”;</w:t>
            </w:r>
          </w:p>
          <w:p w14:paraId="3A24BC6D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20)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Federacja Związków Zawodowych Pracowników Ochrony Zdrowia i Pomocy Społecznej;</w:t>
            </w:r>
          </w:p>
          <w:p w14:paraId="2E5D8780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21)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Ogólnopolskie Porozumienie Związków Zawodowych;</w:t>
            </w:r>
          </w:p>
          <w:p w14:paraId="55241489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22)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Federacja Związków Pracodawców Zakładów Opieki Zdrowotnej;</w:t>
            </w:r>
          </w:p>
          <w:p w14:paraId="6434C035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23)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Forum Związków Zawodowych;</w:t>
            </w:r>
          </w:p>
          <w:p w14:paraId="56BE956F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24)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Związek Przedsiębiorców i Prawodawców;</w:t>
            </w:r>
          </w:p>
          <w:p w14:paraId="6877978B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25)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Związek Rzemiosła Polskiego;</w:t>
            </w:r>
          </w:p>
          <w:p w14:paraId="4EFD8FA1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26)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Ogólnopolski Związek Zawodowy Lekarzy;</w:t>
            </w:r>
          </w:p>
          <w:p w14:paraId="707BEF0C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27)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Ogólnopolski Związek Zawodowy Pielęgniarek i Położnych;</w:t>
            </w:r>
          </w:p>
          <w:p w14:paraId="5D8E9E36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28)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 xml:space="preserve">Ogólnopolski Związek Zawodowy Położnych; </w:t>
            </w:r>
          </w:p>
          <w:p w14:paraId="43586B63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29)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Stowarzyszenie Menedżerów Opieki Zdrowotnej;</w:t>
            </w:r>
          </w:p>
          <w:p w14:paraId="321C92C7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30)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Business Centre Club;</w:t>
            </w:r>
          </w:p>
          <w:p w14:paraId="0D379FA8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31)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Parlament Studentów Rzeczypospolitej Polskiej;</w:t>
            </w:r>
          </w:p>
          <w:p w14:paraId="29F4AED3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32)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Europejskie Stowarzyszenie Studentów Medycyny;</w:t>
            </w:r>
          </w:p>
          <w:p w14:paraId="2AE3905F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33)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Międzynarodowe Stowarzyszenie Studentów Medycyny IFMSA-Poland;</w:t>
            </w:r>
          </w:p>
          <w:p w14:paraId="77265D6E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34)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Polskie Towarzystwo Studentów Stomatologii;</w:t>
            </w:r>
          </w:p>
          <w:p w14:paraId="15DB4BC3" w14:textId="77777777" w:rsidR="00EE646B" w:rsidRPr="00EE646B" w:rsidRDefault="00EE646B" w:rsidP="00EE64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t>35)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Polskie Stowarzyszenie Stomatologiczne;</w:t>
            </w:r>
          </w:p>
          <w:p w14:paraId="280D7A60" w14:textId="11296BEE" w:rsidR="003A7C94" w:rsidRDefault="00EE646B" w:rsidP="008644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646B">
              <w:rPr>
                <w:rFonts w:ascii="Times New Roman" w:hAnsi="Times New Roman"/>
                <w:color w:val="000000"/>
                <w:spacing w:val="-2"/>
              </w:rPr>
              <w:lastRenderedPageBreak/>
              <w:t>36)</w:t>
            </w:r>
            <w:r w:rsidRPr="00EE646B">
              <w:rPr>
                <w:rFonts w:ascii="Times New Roman" w:hAnsi="Times New Roman"/>
                <w:color w:val="000000"/>
                <w:spacing w:val="-2"/>
              </w:rPr>
              <w:tab/>
              <w:t>Krajowa Reprezentacja Doktorantów.</w:t>
            </w:r>
          </w:p>
          <w:p w14:paraId="4EA006EF" w14:textId="6C5FB54E" w:rsidR="00B23380" w:rsidRDefault="00EF3788" w:rsidP="00B23380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B23380">
              <w:rPr>
                <w:rFonts w:ascii="Times New Roman" w:hAnsi="Times New Roman" w:cs="Times New Roman"/>
                <w:sz w:val="22"/>
                <w:szCs w:val="22"/>
              </w:rPr>
              <w:t xml:space="preserve">Projekt </w:t>
            </w:r>
            <w:r w:rsidR="00105057" w:rsidRPr="00DE09D7">
              <w:rPr>
                <w:rFonts w:ascii="Times New Roman" w:hAnsi="Times New Roman" w:cs="Times New Roman"/>
                <w:sz w:val="22"/>
                <w:szCs w:val="22"/>
              </w:rPr>
              <w:t>został</w:t>
            </w:r>
            <w:r w:rsidR="001050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57E2">
              <w:rPr>
                <w:rFonts w:ascii="Times New Roman" w:hAnsi="Times New Roman" w:cs="Times New Roman"/>
                <w:sz w:val="22"/>
                <w:szCs w:val="22"/>
              </w:rPr>
              <w:t>udostępniony</w:t>
            </w:r>
            <w:r w:rsidRPr="00B23380">
              <w:rPr>
                <w:rFonts w:ascii="Times New Roman" w:hAnsi="Times New Roman" w:cs="Times New Roman"/>
                <w:sz w:val="22"/>
                <w:szCs w:val="22"/>
              </w:rPr>
              <w:t xml:space="preserve"> w Biuletynie Informacji Publicznej na stronie podmiotowej Ministra Zdrowia, zgodnie </w:t>
            </w:r>
            <w:r w:rsidR="00B311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23380">
              <w:rPr>
                <w:rFonts w:ascii="Times New Roman" w:hAnsi="Times New Roman" w:cs="Times New Roman"/>
                <w:sz w:val="22"/>
                <w:szCs w:val="22"/>
              </w:rPr>
              <w:t>z przepisami ustawy z dnia 7 lipca 2005 r. o działalności lobbingowej w procesie stanowienia prawa (Dz. U. z 2017 r. poz. 248)</w:t>
            </w:r>
            <w:r w:rsidR="00F310F4">
              <w:rPr>
                <w:rFonts w:ascii="Times New Roman" w:hAnsi="Times New Roman" w:cs="Times New Roman"/>
                <w:sz w:val="22"/>
                <w:szCs w:val="22"/>
              </w:rPr>
              <w:t xml:space="preserve"> oraz</w:t>
            </w:r>
            <w:r w:rsidRPr="00B23380">
              <w:rPr>
                <w:rFonts w:ascii="Times New Roman" w:hAnsi="Times New Roman" w:cs="Times New Roman"/>
                <w:sz w:val="22"/>
                <w:szCs w:val="22"/>
              </w:rPr>
              <w:t xml:space="preserve"> w Biuletynie Informacji Publicznej na stronie podmiotowej Rządowego Centrum Legislacji w serwisie „Rządowy Proces Legislacyjny”, zgodnie z uchwałą nr 190 Rady Ministrów z dnia 29 października 2013 r. – Regulamin pracy Rady Ministrów (M.P. z </w:t>
            </w:r>
            <w:r w:rsidR="0056097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B23380">
              <w:rPr>
                <w:rFonts w:ascii="Times New Roman" w:hAnsi="Times New Roman" w:cs="Times New Roman"/>
                <w:sz w:val="22"/>
                <w:szCs w:val="22"/>
              </w:rPr>
              <w:t xml:space="preserve"> r. poz.</w:t>
            </w:r>
            <w:r w:rsidR="0056097D">
              <w:rPr>
                <w:rFonts w:ascii="Times New Roman" w:hAnsi="Times New Roman" w:cs="Times New Roman"/>
                <w:sz w:val="22"/>
                <w:szCs w:val="22"/>
              </w:rPr>
              <w:t xml:space="preserve"> 348</w:t>
            </w:r>
            <w:r w:rsidRPr="00B2338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r w:rsidRPr="00B2338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</w:p>
          <w:p w14:paraId="6C36CE3F" w14:textId="75A6AF80" w:rsidR="00F81C75" w:rsidRPr="00F81C75" w:rsidRDefault="00EF3788" w:rsidP="008E5CEA">
            <w:pPr>
              <w:pStyle w:val="NIEARTTEKSTtekstnieartykuowanynppodstprawnarozplubpreambua"/>
              <w:spacing w:line="240" w:lineRule="auto"/>
              <w:ind w:firstLine="0"/>
            </w:pPr>
            <w:r w:rsidRPr="00B2338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Wyniki konsultacji publicznych i opiniowania </w:t>
            </w:r>
            <w:r w:rsidR="008E5CEA">
              <w:rPr>
                <w:rFonts w:ascii="Times New Roman" w:hAnsi="Times New Roman"/>
                <w:spacing w:val="-2"/>
                <w:sz w:val="22"/>
                <w:szCs w:val="22"/>
              </w:rPr>
              <w:t>zosta</w:t>
            </w:r>
            <w:r w:rsidR="00107134">
              <w:rPr>
                <w:rFonts w:ascii="Times New Roman" w:hAnsi="Times New Roman"/>
                <w:spacing w:val="-2"/>
                <w:sz w:val="22"/>
                <w:szCs w:val="22"/>
              </w:rPr>
              <w:t>ną</w:t>
            </w:r>
            <w:r w:rsidR="008E5CE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F81C75" w:rsidRPr="00C45F6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zaw</w:t>
            </w:r>
            <w:r w:rsidR="00F65357" w:rsidRPr="00C45F6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arte</w:t>
            </w:r>
            <w:r w:rsidR="00F81C75" w:rsidRPr="00C45F6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F65357" w:rsidRPr="00C45F6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 </w:t>
            </w:r>
            <w:r w:rsidR="003228C7" w:rsidRPr="00C45F6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rapor</w:t>
            </w:r>
            <w:r w:rsidR="00F65357" w:rsidRPr="00C45F6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cie</w:t>
            </w:r>
            <w:r w:rsidR="003228C7" w:rsidRPr="00C45F6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z konsultacji publicznych i opiniowania</w:t>
            </w:r>
            <w:r w:rsidR="00CD15BC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, który </w:t>
            </w:r>
            <w:r w:rsidR="005C1C58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zostanie </w:t>
            </w:r>
            <w:r w:rsidR="004740BE" w:rsidRPr="00C45F6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załączony do niniejsz</w:t>
            </w:r>
            <w:r w:rsidR="00345C3A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ej</w:t>
            </w:r>
            <w:r w:rsidR="004740BE" w:rsidRPr="00C45F6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OSR</w:t>
            </w:r>
            <w:r w:rsidR="00F81C75" w:rsidRPr="00C45F6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6A701A" w:rsidRPr="00074659" w14:paraId="0E359A9C" w14:textId="77777777" w:rsidTr="00247D45">
        <w:trPr>
          <w:trHeight w:val="363"/>
          <w:jc w:val="center"/>
        </w:trPr>
        <w:tc>
          <w:tcPr>
            <w:tcW w:w="11154" w:type="dxa"/>
            <w:gridSpan w:val="27"/>
            <w:shd w:val="clear" w:color="auto" w:fill="99CCFF"/>
            <w:vAlign w:val="center"/>
          </w:tcPr>
          <w:p w14:paraId="6374AD9F" w14:textId="77777777" w:rsidR="006A701A" w:rsidRPr="00074659" w:rsidRDefault="006A701A" w:rsidP="00A4720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074659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074659" w14:paraId="07E6D2C0" w14:textId="77777777" w:rsidTr="00247D45">
        <w:trPr>
          <w:trHeight w:val="142"/>
          <w:jc w:val="center"/>
        </w:trPr>
        <w:tc>
          <w:tcPr>
            <w:tcW w:w="3126" w:type="dxa"/>
            <w:gridSpan w:val="4"/>
            <w:vMerge w:val="restart"/>
            <w:shd w:val="clear" w:color="auto" w:fill="FFFFFF"/>
          </w:tcPr>
          <w:p w14:paraId="39791116" w14:textId="77777777" w:rsidR="00260F33" w:rsidRPr="00074659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074659">
              <w:rPr>
                <w:rFonts w:ascii="Times New Roman" w:hAnsi="Times New Roman"/>
                <w:color w:val="000000"/>
              </w:rPr>
              <w:t>stałe</w:t>
            </w:r>
            <w:r w:rsidRPr="00074659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8028" w:type="dxa"/>
            <w:gridSpan w:val="23"/>
            <w:shd w:val="clear" w:color="auto" w:fill="FFFFFF"/>
          </w:tcPr>
          <w:p w14:paraId="74915E98" w14:textId="77777777" w:rsidR="00260F33" w:rsidRPr="00074659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074659">
              <w:rPr>
                <w:rFonts w:ascii="Times New Roman" w:hAnsi="Times New Roman"/>
                <w:color w:val="000000"/>
              </w:rPr>
              <w:t xml:space="preserve">mln </w:t>
            </w:r>
            <w:r w:rsidRPr="00074659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E2442C" w:rsidRPr="00074659" w14:paraId="5A41731B" w14:textId="77777777" w:rsidTr="00247D45">
        <w:trPr>
          <w:gridAfter w:val="1"/>
          <w:wAfter w:w="8" w:type="dxa"/>
          <w:trHeight w:val="142"/>
          <w:jc w:val="center"/>
        </w:trPr>
        <w:tc>
          <w:tcPr>
            <w:tcW w:w="3126" w:type="dxa"/>
            <w:gridSpan w:val="4"/>
            <w:vMerge/>
            <w:shd w:val="clear" w:color="auto" w:fill="FFFFFF"/>
          </w:tcPr>
          <w:p w14:paraId="3D2FC806" w14:textId="77777777" w:rsidR="00E2442C" w:rsidRPr="00074659" w:rsidRDefault="00E2442C" w:rsidP="00E2442C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868" w:type="dxa"/>
            <w:gridSpan w:val="2"/>
            <w:shd w:val="clear" w:color="auto" w:fill="FFFFFF"/>
          </w:tcPr>
          <w:p w14:paraId="6D195176" w14:textId="60829C6E" w:rsidR="00E2442C" w:rsidRPr="00B45CE4" w:rsidRDefault="00352119" w:rsidP="00E244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5CE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15" w:type="dxa"/>
            <w:shd w:val="clear" w:color="auto" w:fill="FFFFFF"/>
          </w:tcPr>
          <w:p w14:paraId="7F572069" w14:textId="6B99540F" w:rsidR="00E2442C" w:rsidRPr="00B45CE4" w:rsidRDefault="00352119" w:rsidP="00E244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5CE4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dxa"/>
            <w:gridSpan w:val="2"/>
            <w:shd w:val="clear" w:color="auto" w:fill="FFFFFF"/>
          </w:tcPr>
          <w:p w14:paraId="4C8368C9" w14:textId="0AE42CB3" w:rsidR="00E2442C" w:rsidRPr="00B45CE4" w:rsidRDefault="00352119" w:rsidP="00E244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5CE4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2"/>
            <w:shd w:val="clear" w:color="auto" w:fill="FFFFFF"/>
          </w:tcPr>
          <w:p w14:paraId="6857BE9C" w14:textId="2E2A47B5" w:rsidR="00E2442C" w:rsidRPr="00B45CE4" w:rsidRDefault="00352119" w:rsidP="00E244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5CE4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14:paraId="09384D7A" w14:textId="529876CB" w:rsidR="00E2442C" w:rsidRPr="00B45CE4" w:rsidRDefault="00352119" w:rsidP="00E244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5CE4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000FCE3" w14:textId="57BB50DF" w:rsidR="00E2442C" w:rsidRPr="00B45CE4" w:rsidRDefault="00352119" w:rsidP="00E244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5CE4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0F279D0" w14:textId="375DE80A" w:rsidR="00E2442C" w:rsidRPr="00B45CE4" w:rsidRDefault="00352119" w:rsidP="00E244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5CE4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138093E" w14:textId="71E55AC9" w:rsidR="00E2442C" w:rsidRPr="00B45CE4" w:rsidRDefault="00352119" w:rsidP="00E244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5CE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DC7397B" w14:textId="46EAC8F0" w:rsidR="00E2442C" w:rsidRPr="00B45CE4" w:rsidRDefault="00352119" w:rsidP="00E244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5CE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FFFFFF"/>
          </w:tcPr>
          <w:p w14:paraId="3EF51919" w14:textId="7550846A" w:rsidR="00E2442C" w:rsidRPr="00B45CE4" w:rsidRDefault="00352119" w:rsidP="00E244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5CE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BD0AB39" w14:textId="43B365C5" w:rsidR="00E2442C" w:rsidRPr="00B45CE4" w:rsidRDefault="00352119" w:rsidP="00E244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5CE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94" w:type="dxa"/>
            <w:shd w:val="clear" w:color="auto" w:fill="FFFFFF"/>
          </w:tcPr>
          <w:p w14:paraId="6F458D0F" w14:textId="77777777" w:rsidR="00E2442C" w:rsidRPr="00074659" w:rsidRDefault="00E2442C" w:rsidP="00E2442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6623E2" w:rsidRPr="00074659" w14:paraId="45F8BBE5" w14:textId="77777777" w:rsidTr="00247D45">
        <w:trPr>
          <w:gridAfter w:val="1"/>
          <w:wAfter w:w="8" w:type="dxa"/>
          <w:trHeight w:val="423"/>
          <w:jc w:val="center"/>
        </w:trPr>
        <w:tc>
          <w:tcPr>
            <w:tcW w:w="3126" w:type="dxa"/>
            <w:gridSpan w:val="4"/>
            <w:shd w:val="clear" w:color="auto" w:fill="FFFFFF"/>
            <w:vAlign w:val="center"/>
          </w:tcPr>
          <w:p w14:paraId="1BE9B9FD" w14:textId="77777777" w:rsidR="006623E2" w:rsidRPr="00074659" w:rsidRDefault="006623E2" w:rsidP="00662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D6F4" w14:textId="1015EA0B" w:rsidR="006623E2" w:rsidRDefault="006623E2" w:rsidP="006623E2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349BF" w14:textId="33C06F2E" w:rsidR="006623E2" w:rsidRDefault="006623E2" w:rsidP="006623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10F02" w14:textId="7876009D" w:rsidR="006623E2" w:rsidRDefault="006623E2" w:rsidP="006623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ABDA" w14:textId="62027D1F" w:rsidR="006623E2" w:rsidRDefault="006623E2" w:rsidP="006623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281CC" w14:textId="1486F24B" w:rsidR="006623E2" w:rsidRDefault="006623E2" w:rsidP="006623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A1A0C" w14:textId="1809ED88" w:rsidR="006623E2" w:rsidRDefault="006623E2" w:rsidP="006623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0BE9" w14:textId="4FEA3C6B" w:rsidR="006623E2" w:rsidRDefault="006623E2" w:rsidP="006623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3C36A" w14:textId="681CAFAF" w:rsidR="006623E2" w:rsidRDefault="006623E2" w:rsidP="006623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C5DD9" w14:textId="2F8CAC1C" w:rsidR="006623E2" w:rsidRDefault="006623E2" w:rsidP="006623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92B58" w14:textId="42B3785A" w:rsidR="006623E2" w:rsidRDefault="006623E2" w:rsidP="006623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09CD1" w14:textId="7A1CE7CA" w:rsidR="006623E2" w:rsidRDefault="006623E2" w:rsidP="006623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5CF390" w14:textId="41F51B15" w:rsidR="006623E2" w:rsidRDefault="006623E2" w:rsidP="006623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F568A" w:rsidRPr="00074659" w14:paraId="35D04F0D" w14:textId="77777777" w:rsidTr="00247D45">
        <w:trPr>
          <w:gridAfter w:val="1"/>
          <w:wAfter w:w="8" w:type="dxa"/>
          <w:trHeight w:val="423"/>
          <w:jc w:val="center"/>
        </w:trPr>
        <w:tc>
          <w:tcPr>
            <w:tcW w:w="3126" w:type="dxa"/>
            <w:gridSpan w:val="4"/>
            <w:shd w:val="clear" w:color="auto" w:fill="FFFFFF"/>
            <w:vAlign w:val="center"/>
          </w:tcPr>
          <w:p w14:paraId="724D1F33" w14:textId="77777777" w:rsidR="001F568A" w:rsidRPr="00074659" w:rsidRDefault="001F568A" w:rsidP="001F56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2CDA8" w14:textId="2B532174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86FAF" w14:textId="2F373456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17B9F" w14:textId="73DF8EDF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3D95" w14:textId="6278F3BA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74729" w14:textId="552B0401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B50E" w14:textId="6E45879B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BA6A9" w14:textId="24BA4585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593A8" w14:textId="1909C899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E944F" w14:textId="276161C9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7357" w14:textId="5DF12B71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1A5DF" w14:textId="081C7C93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1550F9" w14:textId="47E3C3CE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F568A" w:rsidRPr="00074659" w14:paraId="59D6F0CE" w14:textId="77777777" w:rsidTr="00247D45">
        <w:trPr>
          <w:gridAfter w:val="1"/>
          <w:wAfter w:w="8" w:type="dxa"/>
          <w:trHeight w:val="423"/>
          <w:jc w:val="center"/>
        </w:trPr>
        <w:tc>
          <w:tcPr>
            <w:tcW w:w="3126" w:type="dxa"/>
            <w:gridSpan w:val="4"/>
            <w:shd w:val="clear" w:color="auto" w:fill="FFFFFF"/>
            <w:vAlign w:val="center"/>
          </w:tcPr>
          <w:p w14:paraId="13758376" w14:textId="77777777" w:rsidR="001F568A" w:rsidRPr="00074659" w:rsidRDefault="001F568A" w:rsidP="001F56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10243" w14:textId="07DB9CB7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08740" w14:textId="0F17DB05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183F6" w14:textId="213A0DAF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02272" w14:textId="4B2BB543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66474" w14:textId="66D59824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8558" w14:textId="2B3A7DE3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03438" w14:textId="7DFC3B03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02B7A" w14:textId="5070E237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0A6B5" w14:textId="15A34933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86139" w14:textId="6DC6EE0D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 w:rsidRPr="004B55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677BD" w14:textId="03A74B7B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 w:rsidRPr="004B55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BFC51B2" w14:textId="440770BF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 w:rsidRPr="004B5561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568A" w:rsidRPr="00074659" w14:paraId="280FEB1A" w14:textId="77777777" w:rsidTr="00247D45">
        <w:trPr>
          <w:gridAfter w:val="1"/>
          <w:wAfter w:w="8" w:type="dxa"/>
          <w:trHeight w:val="423"/>
          <w:jc w:val="center"/>
        </w:trPr>
        <w:tc>
          <w:tcPr>
            <w:tcW w:w="3126" w:type="dxa"/>
            <w:gridSpan w:val="4"/>
            <w:shd w:val="clear" w:color="auto" w:fill="FFFFFF"/>
            <w:vAlign w:val="center"/>
          </w:tcPr>
          <w:p w14:paraId="25E0F231" w14:textId="77777777" w:rsidR="001F568A" w:rsidRPr="00074659" w:rsidRDefault="001F568A" w:rsidP="001F56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81618" w14:textId="5AE1F445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47DD2" w14:textId="2964D73B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B8BB" w14:textId="1CA1B5F2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AB6CC" w14:textId="02CDD1A5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39A49" w14:textId="2CF05A6B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A4D4" w14:textId="1BC98C8C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A4FB4" w14:textId="1E21A0E4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07B70" w14:textId="0B260FFE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C69BB" w14:textId="4E40297C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0EFF2" w14:textId="6C7D18AA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 w:rsidRPr="0078094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1D58E" w14:textId="16282453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 w:rsidRPr="0078094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A7A7CBB" w14:textId="1D0653A7" w:rsidR="001F568A" w:rsidRDefault="001F568A" w:rsidP="001F568A">
            <w:pPr>
              <w:jc w:val="center"/>
              <w:rPr>
                <w:color w:val="000000"/>
                <w:sz w:val="16"/>
                <w:szCs w:val="16"/>
              </w:rPr>
            </w:pPr>
            <w:r w:rsidRPr="00780947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3D8B" w:rsidRPr="00074659" w14:paraId="76E199C4" w14:textId="77777777" w:rsidTr="00247D45">
        <w:trPr>
          <w:gridAfter w:val="1"/>
          <w:wAfter w:w="8" w:type="dxa"/>
          <w:trHeight w:val="423"/>
          <w:jc w:val="center"/>
        </w:trPr>
        <w:tc>
          <w:tcPr>
            <w:tcW w:w="3126" w:type="dxa"/>
            <w:gridSpan w:val="4"/>
            <w:shd w:val="clear" w:color="auto" w:fill="FFFFFF"/>
            <w:vAlign w:val="center"/>
          </w:tcPr>
          <w:p w14:paraId="05BAFDC5" w14:textId="77777777" w:rsidR="00963D8B" w:rsidRPr="00074659" w:rsidRDefault="00963D8B" w:rsidP="00963D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62051" w14:textId="65960F0D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2B4A5" w14:textId="48CC56CA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8E319" w14:textId="622A60E4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2906" w14:textId="0ED3FF0C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973B" w14:textId="75EC1844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9A4A" w14:textId="7D6BEFA5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CB2EC" w14:textId="30D59264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8B763" w14:textId="0C5DCD24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03EE3" w14:textId="05938425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94FD9" w14:textId="53BED61B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91950" w14:textId="5B289A6E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9CF7F7" w14:textId="07413D69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3D8B" w:rsidRPr="00074659" w14:paraId="3C1C2C8F" w14:textId="77777777" w:rsidTr="00247D45">
        <w:trPr>
          <w:gridAfter w:val="1"/>
          <w:wAfter w:w="8" w:type="dxa"/>
          <w:trHeight w:val="423"/>
          <w:jc w:val="center"/>
        </w:trPr>
        <w:tc>
          <w:tcPr>
            <w:tcW w:w="3126" w:type="dxa"/>
            <w:gridSpan w:val="4"/>
            <w:shd w:val="clear" w:color="auto" w:fill="FFFFFF"/>
            <w:vAlign w:val="center"/>
          </w:tcPr>
          <w:p w14:paraId="47D4E8A4" w14:textId="77777777" w:rsidR="00963D8B" w:rsidRPr="00074659" w:rsidRDefault="00963D8B" w:rsidP="00963D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DBFE8" w14:textId="6CDDA0EF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80970" w14:textId="0D73EF15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E594" w14:textId="33A7AEA7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A3B13" w14:textId="42E41515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93FB6" w14:textId="4309AD5B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E13F8" w14:textId="654C5705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C578" w14:textId="3CB3484A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46528" w14:textId="44E900D2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9A432" w14:textId="39D14C22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CE4F6" w14:textId="753C9A51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88032" w14:textId="30F90751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9AB4F0" w14:textId="3A6E4E88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44846" w:rsidRPr="00074659" w14:paraId="2EA270E6" w14:textId="77777777" w:rsidTr="00247D45">
        <w:trPr>
          <w:gridAfter w:val="1"/>
          <w:wAfter w:w="8" w:type="dxa"/>
          <w:trHeight w:val="423"/>
          <w:jc w:val="center"/>
        </w:trPr>
        <w:tc>
          <w:tcPr>
            <w:tcW w:w="3126" w:type="dxa"/>
            <w:gridSpan w:val="4"/>
            <w:shd w:val="clear" w:color="auto" w:fill="FFFFFF"/>
            <w:vAlign w:val="center"/>
          </w:tcPr>
          <w:p w14:paraId="1FE64DD5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49CB9" w14:textId="0E671165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D55D4" w14:textId="2313039E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259B7" w14:textId="2B7E9985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8A80F" w14:textId="32D443FB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148D" w14:textId="1440C4A9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53B89" w14:textId="417AE034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A008F" w14:textId="21F7FDB0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46FA7" w14:textId="5714C85F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C1D55" w14:textId="5357C279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DFA2D" w14:textId="16C3FCCC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 w:rsidRPr="00374B4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3884E" w14:textId="77C5CA64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 w:rsidRPr="00374B4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DB11C96" w14:textId="79F24593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 w:rsidRPr="00374B4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44846" w:rsidRPr="00074659" w14:paraId="0F86FDB8" w14:textId="77777777" w:rsidTr="00247D45">
        <w:trPr>
          <w:gridAfter w:val="1"/>
          <w:wAfter w:w="8" w:type="dxa"/>
          <w:trHeight w:val="423"/>
          <w:jc w:val="center"/>
        </w:trPr>
        <w:tc>
          <w:tcPr>
            <w:tcW w:w="3126" w:type="dxa"/>
            <w:gridSpan w:val="4"/>
            <w:shd w:val="clear" w:color="auto" w:fill="FFFFFF"/>
            <w:vAlign w:val="center"/>
          </w:tcPr>
          <w:p w14:paraId="28D1E932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DB23" w14:textId="4D5B3178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29B7D" w14:textId="3E85A62E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3F914" w14:textId="28450788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758F8" w14:textId="7B3EB78E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D00BB" w14:textId="3014C9E8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1C94C" w14:textId="41CC17C3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2767" w14:textId="4DB870FA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85623" w14:textId="191F7098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D4DA4" w14:textId="662F2812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846A7" w14:textId="5E64244B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 w:rsidRPr="00C274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B1F61" w14:textId="42D12FE1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 w:rsidRPr="00C2749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D1F943F" w14:textId="6E26B462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 w:rsidRPr="00C2749E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3D8B" w:rsidRPr="00074659" w14:paraId="5279F3F0" w14:textId="77777777" w:rsidTr="00247D45">
        <w:trPr>
          <w:gridAfter w:val="1"/>
          <w:wAfter w:w="8" w:type="dxa"/>
          <w:trHeight w:val="423"/>
          <w:jc w:val="center"/>
        </w:trPr>
        <w:tc>
          <w:tcPr>
            <w:tcW w:w="3126" w:type="dxa"/>
            <w:gridSpan w:val="4"/>
            <w:shd w:val="clear" w:color="auto" w:fill="FFFFFF"/>
            <w:vAlign w:val="center"/>
          </w:tcPr>
          <w:p w14:paraId="48C04499" w14:textId="77777777" w:rsidR="00963D8B" w:rsidRPr="00074659" w:rsidRDefault="00963D8B" w:rsidP="00963D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489BC" w14:textId="34C78E06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4B735" w14:textId="66A0551E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531C9" w14:textId="2FEE510B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3DB6F" w14:textId="64A7D11C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6355A" w14:textId="150E0F44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97344" w14:textId="576C735A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7F309" w14:textId="769220C1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3795D" w14:textId="5EFF7CE1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39723" w14:textId="0A66ABD1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F5F3" w14:textId="1FDA2FDE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D5C1E" w14:textId="106B214E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73D9DF" w14:textId="78E97603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3D8B" w:rsidRPr="00074659" w14:paraId="5F6B80D1" w14:textId="77777777" w:rsidTr="00247D45">
        <w:trPr>
          <w:gridAfter w:val="1"/>
          <w:wAfter w:w="8" w:type="dxa"/>
          <w:trHeight w:val="423"/>
          <w:jc w:val="center"/>
        </w:trPr>
        <w:tc>
          <w:tcPr>
            <w:tcW w:w="3126" w:type="dxa"/>
            <w:gridSpan w:val="4"/>
            <w:shd w:val="clear" w:color="auto" w:fill="FFFFFF"/>
            <w:vAlign w:val="center"/>
          </w:tcPr>
          <w:p w14:paraId="2B90134F" w14:textId="77777777" w:rsidR="00963D8B" w:rsidRPr="00074659" w:rsidRDefault="00963D8B" w:rsidP="00963D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17E5D" w14:textId="2F6158A3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8642" w14:textId="44922F52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06EF7" w14:textId="372E28EB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BD2B" w14:textId="00E487D5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EE061" w14:textId="5A3B9C4B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C733" w14:textId="3BE7BFA4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0C0D4" w14:textId="44AFC614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23B91" w14:textId="264EBC64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E624" w14:textId="359E1AFA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0E353" w14:textId="0D7DA9B6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D9E60" w14:textId="28E46A22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E19DB1" w14:textId="5DC86AF9" w:rsidR="00963D8B" w:rsidRPr="00352119" w:rsidRDefault="00963D8B" w:rsidP="00963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44846" w:rsidRPr="00074659" w14:paraId="44130CEB" w14:textId="77777777" w:rsidTr="00247D45">
        <w:trPr>
          <w:gridAfter w:val="1"/>
          <w:wAfter w:w="8" w:type="dxa"/>
          <w:trHeight w:val="423"/>
          <w:jc w:val="center"/>
        </w:trPr>
        <w:tc>
          <w:tcPr>
            <w:tcW w:w="3126" w:type="dxa"/>
            <w:gridSpan w:val="4"/>
            <w:shd w:val="clear" w:color="auto" w:fill="FFFFFF"/>
            <w:vAlign w:val="center"/>
          </w:tcPr>
          <w:p w14:paraId="3A39B2F5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34375" w14:textId="7ECE1543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FD344" w14:textId="4312B296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8C9E6" w14:textId="3F59F916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62924" w14:textId="79B59D9A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5007A" w14:textId="476C0A44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1D37" w14:textId="16D2AD25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D991A" w14:textId="2B492123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75748" w14:textId="2F88F423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C4105" w14:textId="340AB3F0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72AD1" w14:textId="5DE31826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 w:rsidRPr="00272C7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27122" w14:textId="6C225014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 w:rsidRPr="00272C7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A2B240E" w14:textId="7B670D24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 w:rsidRPr="00272C70">
              <w:rPr>
                <w:color w:val="000000"/>
                <w:sz w:val="16"/>
                <w:szCs w:val="16"/>
              </w:rPr>
              <w:t>-</w:t>
            </w:r>
          </w:p>
        </w:tc>
      </w:tr>
      <w:tr w:rsidR="00D44846" w:rsidRPr="00074659" w14:paraId="73E91125" w14:textId="77777777" w:rsidTr="00247D45">
        <w:trPr>
          <w:gridAfter w:val="1"/>
          <w:wAfter w:w="8" w:type="dxa"/>
          <w:trHeight w:val="423"/>
          <w:jc w:val="center"/>
        </w:trPr>
        <w:tc>
          <w:tcPr>
            <w:tcW w:w="3126" w:type="dxa"/>
            <w:gridSpan w:val="4"/>
            <w:shd w:val="clear" w:color="auto" w:fill="FFFFFF"/>
            <w:vAlign w:val="center"/>
          </w:tcPr>
          <w:p w14:paraId="29E3796D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60D36" w14:textId="1D74A132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59673" w14:textId="1E58BE3A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99EB4" w14:textId="4D86805A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A52EE" w14:textId="3BF6C8E6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C51E6" w14:textId="0585EEFC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EAB70" w14:textId="7E2DDB56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3BB15" w14:textId="40446F5F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CF4D6" w14:textId="1C71768A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9846" w14:textId="47DD5C9B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42389CC" w14:textId="3B702446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 w:rsidRPr="00272C7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26A452E" w14:textId="582C778E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 w:rsidRPr="00272C7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ECC909" w14:textId="3CF37288" w:rsidR="00D44846" w:rsidRDefault="00D44846" w:rsidP="00D44846">
            <w:pPr>
              <w:jc w:val="center"/>
              <w:rPr>
                <w:color w:val="000000"/>
                <w:sz w:val="16"/>
                <w:szCs w:val="16"/>
              </w:rPr>
            </w:pPr>
            <w:r w:rsidRPr="00272C70">
              <w:rPr>
                <w:color w:val="000000"/>
                <w:sz w:val="16"/>
                <w:szCs w:val="16"/>
              </w:rPr>
              <w:t>-</w:t>
            </w:r>
          </w:p>
        </w:tc>
      </w:tr>
      <w:tr w:rsidR="00D44846" w:rsidRPr="00074659" w14:paraId="189A0E08" w14:textId="77777777" w:rsidTr="00247D45">
        <w:trPr>
          <w:trHeight w:val="348"/>
          <w:jc w:val="center"/>
        </w:trPr>
        <w:tc>
          <w:tcPr>
            <w:tcW w:w="2237" w:type="dxa"/>
            <w:gridSpan w:val="2"/>
            <w:shd w:val="clear" w:color="auto" w:fill="FFFFFF"/>
            <w:vAlign w:val="center"/>
          </w:tcPr>
          <w:p w14:paraId="4F439F18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917" w:type="dxa"/>
            <w:gridSpan w:val="25"/>
            <w:shd w:val="clear" w:color="auto" w:fill="FFFFFF"/>
            <w:vAlign w:val="center"/>
          </w:tcPr>
          <w:p w14:paraId="703B46CA" w14:textId="0F93045D" w:rsidR="00D44846" w:rsidRDefault="00D44846" w:rsidP="00D448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F568A">
              <w:rPr>
                <w:rFonts w:ascii="Times New Roman" w:hAnsi="Times New Roman"/>
                <w:color w:val="000000"/>
              </w:rPr>
              <w:t xml:space="preserve">Limit przyjęć na jednolite studia magisterskie prowadzone w formie studiów stacjonarnych </w:t>
            </w:r>
            <w:r w:rsidRPr="001F568A">
              <w:rPr>
                <w:rFonts w:ascii="Times New Roman" w:hAnsi="Times New Roman"/>
                <w:color w:val="000000"/>
              </w:rPr>
              <w:br/>
              <w:t xml:space="preserve">w języku polskim na kierunkach lekarskim i lekarsko-dentystycznym w stosunku do roku akademickiego </w:t>
            </w:r>
            <w:r w:rsidR="00E64810" w:rsidRPr="001F568A">
              <w:rPr>
                <w:rFonts w:ascii="Times New Roman" w:hAnsi="Times New Roman"/>
                <w:color w:val="000000"/>
              </w:rPr>
              <w:t>202</w:t>
            </w:r>
            <w:r w:rsidR="00E64810">
              <w:rPr>
                <w:rFonts w:ascii="Times New Roman" w:hAnsi="Times New Roman"/>
                <w:color w:val="000000"/>
              </w:rPr>
              <w:t>2</w:t>
            </w:r>
            <w:r w:rsidRPr="001F568A">
              <w:rPr>
                <w:rFonts w:ascii="Times New Roman" w:hAnsi="Times New Roman"/>
                <w:color w:val="000000"/>
              </w:rPr>
              <w:t>/</w:t>
            </w:r>
            <w:r w:rsidR="00E64810" w:rsidRPr="001F568A">
              <w:rPr>
                <w:rFonts w:ascii="Times New Roman" w:hAnsi="Times New Roman"/>
                <w:color w:val="000000"/>
              </w:rPr>
              <w:t>202</w:t>
            </w:r>
            <w:r w:rsidR="00E64810">
              <w:rPr>
                <w:rFonts w:ascii="Times New Roman" w:hAnsi="Times New Roman"/>
                <w:color w:val="000000"/>
              </w:rPr>
              <w:t>3</w:t>
            </w:r>
            <w:r w:rsidR="00E64810" w:rsidRPr="001F568A">
              <w:rPr>
                <w:rFonts w:ascii="Times New Roman" w:hAnsi="Times New Roman"/>
                <w:color w:val="000000"/>
              </w:rPr>
              <w:t xml:space="preserve"> </w:t>
            </w:r>
            <w:r w:rsidRPr="001F568A">
              <w:rPr>
                <w:rFonts w:ascii="Times New Roman" w:hAnsi="Times New Roman"/>
                <w:color w:val="000000"/>
              </w:rPr>
              <w:t xml:space="preserve">w </w:t>
            </w:r>
            <w:r w:rsidRPr="006D2E0C">
              <w:rPr>
                <w:rFonts w:ascii="Times New Roman" w:hAnsi="Times New Roman"/>
                <w:color w:val="000000"/>
              </w:rPr>
              <w:t>uczelniach nadzorowanych przez ministra właściwego do spraw zdrowia</w:t>
            </w:r>
            <w:r w:rsidR="00F35E6A" w:rsidRPr="006D2E0C">
              <w:rPr>
                <w:rFonts w:ascii="Times New Roman" w:hAnsi="Times New Roman"/>
                <w:color w:val="000000"/>
              </w:rPr>
              <w:t xml:space="preserve"> (bez uwzględnienia limitu </w:t>
            </w:r>
            <w:r w:rsidR="0003295A" w:rsidRPr="006D2E0C">
              <w:rPr>
                <w:rFonts w:ascii="Times New Roman" w:hAnsi="Times New Roman"/>
                <w:color w:val="000000"/>
              </w:rPr>
              <w:t xml:space="preserve">miejsc finansowanych przez </w:t>
            </w:r>
            <w:r w:rsidR="00F35E6A" w:rsidRPr="006D2E0C">
              <w:rPr>
                <w:rFonts w:ascii="Times New Roman" w:hAnsi="Times New Roman"/>
                <w:color w:val="000000"/>
              </w:rPr>
              <w:t>M</w:t>
            </w:r>
            <w:r w:rsidR="0003295A" w:rsidRPr="006D2E0C">
              <w:rPr>
                <w:rFonts w:ascii="Times New Roman" w:hAnsi="Times New Roman"/>
                <w:color w:val="000000"/>
              </w:rPr>
              <w:t xml:space="preserve">inistra </w:t>
            </w:r>
            <w:r w:rsidR="00F35E6A" w:rsidRPr="006D2E0C">
              <w:rPr>
                <w:rFonts w:ascii="Times New Roman" w:hAnsi="Times New Roman"/>
                <w:color w:val="000000"/>
              </w:rPr>
              <w:t>O</w:t>
            </w:r>
            <w:r w:rsidR="0003295A" w:rsidRPr="006D2E0C">
              <w:rPr>
                <w:rFonts w:ascii="Times New Roman" w:hAnsi="Times New Roman"/>
                <w:color w:val="000000"/>
              </w:rPr>
              <w:t xml:space="preserve">brony </w:t>
            </w:r>
            <w:r w:rsidR="00F35E6A" w:rsidRPr="006D2E0C">
              <w:rPr>
                <w:rFonts w:ascii="Times New Roman" w:hAnsi="Times New Roman"/>
                <w:color w:val="000000"/>
              </w:rPr>
              <w:t>N</w:t>
            </w:r>
            <w:r w:rsidR="0003295A" w:rsidRPr="006D2E0C">
              <w:rPr>
                <w:rFonts w:ascii="Times New Roman" w:hAnsi="Times New Roman"/>
                <w:color w:val="000000"/>
              </w:rPr>
              <w:t>arodowej</w:t>
            </w:r>
            <w:r w:rsidR="00F35E6A" w:rsidRPr="006D2E0C">
              <w:rPr>
                <w:rFonts w:ascii="Times New Roman" w:hAnsi="Times New Roman"/>
                <w:color w:val="000000"/>
              </w:rPr>
              <w:t>)</w:t>
            </w:r>
            <w:r w:rsidRPr="006D2E0C">
              <w:rPr>
                <w:rFonts w:ascii="Times New Roman" w:hAnsi="Times New Roman"/>
                <w:color w:val="000000"/>
              </w:rPr>
              <w:t xml:space="preserve"> zostanie </w:t>
            </w:r>
            <w:r w:rsidR="00846B68" w:rsidRPr="00EE646B">
              <w:rPr>
                <w:rFonts w:ascii="Times New Roman" w:hAnsi="Times New Roman"/>
              </w:rPr>
              <w:t>ogółem</w:t>
            </w:r>
            <w:r w:rsidRPr="006D2E0C">
              <w:rPr>
                <w:rFonts w:ascii="Times New Roman" w:hAnsi="Times New Roman"/>
                <w:color w:val="000000"/>
              </w:rPr>
              <w:t xml:space="preserve"> zwiększony o </w:t>
            </w:r>
            <w:r w:rsidR="00E64810">
              <w:rPr>
                <w:rFonts w:ascii="Times New Roman" w:hAnsi="Times New Roman"/>
                <w:color w:val="000000"/>
              </w:rPr>
              <w:t>46</w:t>
            </w:r>
            <w:r w:rsidR="00E64810" w:rsidRPr="006D2E0C">
              <w:rPr>
                <w:rFonts w:ascii="Times New Roman" w:hAnsi="Times New Roman"/>
                <w:color w:val="000000"/>
              </w:rPr>
              <w:t xml:space="preserve"> </w:t>
            </w:r>
            <w:r w:rsidRPr="006D2E0C">
              <w:rPr>
                <w:rFonts w:ascii="Times New Roman" w:hAnsi="Times New Roman"/>
                <w:color w:val="000000"/>
              </w:rPr>
              <w:t xml:space="preserve">miejsc (w tym zwiększenie o </w:t>
            </w:r>
            <w:r w:rsidR="00E64810">
              <w:rPr>
                <w:rFonts w:ascii="Times New Roman" w:hAnsi="Times New Roman"/>
                <w:color w:val="000000"/>
              </w:rPr>
              <w:t>59</w:t>
            </w:r>
            <w:r w:rsidR="00E64810" w:rsidRPr="006D2E0C">
              <w:rPr>
                <w:rFonts w:ascii="Times New Roman" w:hAnsi="Times New Roman"/>
                <w:color w:val="000000"/>
              </w:rPr>
              <w:t xml:space="preserve"> </w:t>
            </w:r>
            <w:r w:rsidRPr="006D2E0C">
              <w:rPr>
                <w:rFonts w:ascii="Times New Roman" w:hAnsi="Times New Roman"/>
                <w:color w:val="000000"/>
              </w:rPr>
              <w:t xml:space="preserve">miejsc na studiach na kierunku lekarskim i </w:t>
            </w:r>
            <w:r w:rsidR="00E64810">
              <w:rPr>
                <w:rFonts w:ascii="Times New Roman" w:hAnsi="Times New Roman"/>
                <w:color w:val="000000"/>
              </w:rPr>
              <w:t>zmniejszeni</w:t>
            </w:r>
            <w:r w:rsidR="00247D45">
              <w:rPr>
                <w:rFonts w:ascii="Times New Roman" w:hAnsi="Times New Roman"/>
                <w:color w:val="000000"/>
              </w:rPr>
              <w:t>e</w:t>
            </w:r>
            <w:r w:rsidRPr="006D2E0C">
              <w:rPr>
                <w:rFonts w:ascii="Times New Roman" w:hAnsi="Times New Roman"/>
                <w:color w:val="000000"/>
              </w:rPr>
              <w:t xml:space="preserve"> liczby miejsc o </w:t>
            </w:r>
            <w:r w:rsidR="00E64810">
              <w:rPr>
                <w:rFonts w:ascii="Times New Roman" w:hAnsi="Times New Roman"/>
                <w:color w:val="000000"/>
              </w:rPr>
              <w:t>13</w:t>
            </w:r>
            <w:r w:rsidR="00E64810" w:rsidRPr="006D2E0C">
              <w:rPr>
                <w:rFonts w:ascii="Times New Roman" w:hAnsi="Times New Roman"/>
                <w:color w:val="000000"/>
              </w:rPr>
              <w:t xml:space="preserve"> </w:t>
            </w:r>
            <w:r w:rsidRPr="006D2E0C">
              <w:rPr>
                <w:rFonts w:ascii="Times New Roman" w:hAnsi="Times New Roman"/>
                <w:color w:val="000000"/>
              </w:rPr>
              <w:t>na studiach na kierunku lekarsko-dentystycznym)</w:t>
            </w:r>
            <w:r w:rsidRPr="006D2E0C">
              <w:rPr>
                <w:rFonts w:ascii="Times New Roman" w:hAnsi="Times New Roman"/>
              </w:rPr>
              <w:t>.</w:t>
            </w:r>
            <w:r w:rsidRPr="006D2E0C">
              <w:t xml:space="preserve"> </w:t>
            </w:r>
          </w:p>
          <w:p w14:paraId="4C64A564" w14:textId="5288C8E2" w:rsidR="00247D45" w:rsidRDefault="00247D45" w:rsidP="00D448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2E0C">
              <w:rPr>
                <w:rFonts w:ascii="Times New Roman" w:hAnsi="Times New Roman"/>
              </w:rPr>
              <w:t>Skutki finansowe związane z wejściem w życie przedmiotowego</w:t>
            </w:r>
            <w:r w:rsidRPr="001F568A">
              <w:rPr>
                <w:rFonts w:ascii="Times New Roman" w:hAnsi="Times New Roman"/>
              </w:rPr>
              <w:t xml:space="preserve"> rozporządzenia zostaną </w:t>
            </w:r>
            <w:r>
              <w:rPr>
                <w:rFonts w:ascii="Times New Roman" w:hAnsi="Times New Roman"/>
              </w:rPr>
              <w:t xml:space="preserve"> sfinansowane </w:t>
            </w:r>
            <w:r w:rsidRPr="001F568A">
              <w:rPr>
                <w:rFonts w:ascii="Times New Roman" w:hAnsi="Times New Roman"/>
                <w:color w:val="000000"/>
              </w:rPr>
              <w:t xml:space="preserve">przez poszczególne uczelnie </w:t>
            </w:r>
            <w:r>
              <w:rPr>
                <w:rFonts w:ascii="Times New Roman" w:hAnsi="Times New Roman"/>
                <w:color w:val="000000"/>
              </w:rPr>
              <w:t xml:space="preserve">medyczne </w:t>
            </w:r>
            <w:r w:rsidRPr="001F568A">
              <w:rPr>
                <w:rFonts w:ascii="Times New Roman" w:hAnsi="Times New Roman"/>
              </w:rPr>
              <w:t xml:space="preserve">w ramach </w:t>
            </w:r>
            <w:r>
              <w:rPr>
                <w:rFonts w:ascii="Times New Roman" w:hAnsi="Times New Roman"/>
              </w:rPr>
              <w:t>środków zaplanowanych</w:t>
            </w:r>
            <w:r w:rsidRPr="001F56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1F568A">
              <w:rPr>
                <w:rFonts w:ascii="Times New Roman" w:hAnsi="Times New Roman"/>
              </w:rPr>
              <w:t xml:space="preserve"> części 46 – Zdrowie </w:t>
            </w:r>
            <w:r>
              <w:rPr>
                <w:rFonts w:ascii="Times New Roman" w:hAnsi="Times New Roman"/>
              </w:rPr>
              <w:t xml:space="preserve">na finansowanie działalności naukowej i badawczej uczelni medycznych, podzielonych na podstawie </w:t>
            </w:r>
            <w:r w:rsidRPr="001F568A">
              <w:rPr>
                <w:rFonts w:ascii="Times New Roman" w:hAnsi="Times New Roman"/>
                <w:color w:val="000000"/>
              </w:rPr>
              <w:t>rozporządzenia Ministra</w:t>
            </w:r>
            <w:r>
              <w:rPr>
                <w:rFonts w:ascii="Times New Roman" w:hAnsi="Times New Roman"/>
                <w:color w:val="000000"/>
              </w:rPr>
              <w:t xml:space="preserve"> Zdrowia </w:t>
            </w:r>
            <w:r w:rsidRPr="001F568A">
              <w:rPr>
                <w:rFonts w:ascii="Times New Roman" w:hAnsi="Times New Roman"/>
                <w:color w:val="000000"/>
              </w:rPr>
              <w:t xml:space="preserve">z dnia 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1F568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czerwca</w:t>
            </w:r>
            <w:r w:rsidRPr="001F568A">
              <w:rPr>
                <w:rFonts w:ascii="Times New Roman" w:hAnsi="Times New Roman"/>
                <w:color w:val="000000"/>
              </w:rPr>
              <w:t xml:space="preserve"> 2019 r. w sprawie sposobu podziału środków finansowych</w:t>
            </w:r>
            <w:r>
              <w:rPr>
                <w:rFonts w:ascii="Times New Roman" w:hAnsi="Times New Roman"/>
                <w:color w:val="000000"/>
              </w:rPr>
              <w:t xml:space="preserve"> dla uczelni medycznych nadzorowanych przez ministra właściwego do spraw zdrowia </w:t>
            </w:r>
            <w:r w:rsidRPr="009A3486">
              <w:rPr>
                <w:rFonts w:ascii="Times New Roman" w:hAnsi="Times New Roman"/>
                <w:color w:val="000000"/>
              </w:rPr>
              <w:t>(Dz.U. poz. 1201)</w:t>
            </w:r>
            <w:r>
              <w:rPr>
                <w:rFonts w:ascii="Times New Roman" w:hAnsi="Times New Roman"/>
                <w:color w:val="000000"/>
              </w:rPr>
              <w:t>, bez konieczności ich dodatkowego zwiększania.</w:t>
            </w:r>
          </w:p>
          <w:p w14:paraId="1C882519" w14:textId="77777777" w:rsidR="00247D45" w:rsidRPr="001F568A" w:rsidRDefault="00247D45" w:rsidP="00D4484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D17A2E1" w14:textId="07D3BFEA" w:rsidR="00D44846" w:rsidRPr="001F568A" w:rsidRDefault="00D44846" w:rsidP="00D4484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F568A">
              <w:rPr>
                <w:rFonts w:ascii="Times New Roman" w:hAnsi="Times New Roman"/>
                <w:color w:val="000000"/>
              </w:rPr>
              <w:t xml:space="preserve">Wydatki związane z projektowanym limitem przyjęć na studia na kierunkach lekarskim </w:t>
            </w:r>
            <w:r w:rsidRPr="001F568A">
              <w:rPr>
                <w:rFonts w:ascii="Times New Roman" w:hAnsi="Times New Roman"/>
                <w:color w:val="000000"/>
              </w:rPr>
              <w:br/>
              <w:t xml:space="preserve">i lekarsko-dentystycznym w uczelniach publicznych nadzorowanych przez ministra właściwego do spraw szkolnictwa wyższego i nauki zostaną sfinansowane przez poszczególne uczelnie </w:t>
            </w:r>
            <w:r w:rsidRPr="001F568A">
              <w:rPr>
                <w:rFonts w:ascii="Times New Roman" w:hAnsi="Times New Roman"/>
                <w:color w:val="000000"/>
              </w:rPr>
              <w:br/>
              <w:t xml:space="preserve">w ramach środków określonych na podstawie rozporządzenia Ministra Nauki i Szkolnictwa Wyższego z dnia 9 września 2019 r. w sprawie sposobu podziału środków finansowych na utrzymanie i rozwój potencjału dydaktycznego oraz potencjału badawczego znajdujących się </w:t>
            </w:r>
            <w:r w:rsidRPr="001F568A">
              <w:rPr>
                <w:rFonts w:ascii="Times New Roman" w:hAnsi="Times New Roman"/>
                <w:color w:val="000000"/>
              </w:rPr>
              <w:br/>
              <w:t>w dyspozycji ministra właściwego do spraw szkolnictwa wyższego i nauki oraz na zadania związane z utrzymaniem powietrznych statków szkolnych i specjalistycznych ośrodków szkoleniowych kadr powietrznych (Dz. U. z 2022 r. poz. 305).</w:t>
            </w:r>
            <w:r w:rsidRPr="001F568A">
              <w:t xml:space="preserve"> </w:t>
            </w:r>
            <w:r w:rsidRPr="001F568A">
              <w:rPr>
                <w:rFonts w:ascii="Times New Roman" w:hAnsi="Times New Roman"/>
              </w:rPr>
              <w:t>Zwiększenia limitu przyjęć na studia na kierunkach lekarskim i lekarsko-dentystycznym dokonywane przez poszczególne uczelnie nie będą stanowiły podstawy do ubiegania się o dodatkowe środki z budżetu państwa, a zadania te będą realizowane w ramach własnych środków oraz środków pochodzących z subwencji z budżetu państwa określonych na podstawie właściwych przepisów.</w:t>
            </w:r>
          </w:p>
          <w:p w14:paraId="7ED05000" w14:textId="49D64730" w:rsidR="00D44846" w:rsidRPr="001F568A" w:rsidRDefault="00D44846" w:rsidP="00D4484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568A">
              <w:rPr>
                <w:rFonts w:ascii="Times New Roman" w:hAnsi="Times New Roman"/>
              </w:rPr>
              <w:lastRenderedPageBreak/>
              <w:t xml:space="preserve">Środki przekazywane przez Ministra Obrony Narodowej na kształcenie lekarzy w Uniwersytecie Medycznym w Łodzi będą zapewnione w ramach limitu wydatków obronnych wyliczanych zgodnie z regułą zawartą w art. 40 ustawy z dnia 11 marca 2022 r. o obronie Ojczyzny (Dz. U. poz. </w:t>
            </w:r>
            <w:r w:rsidR="00383123">
              <w:rPr>
                <w:rFonts w:ascii="Times New Roman" w:hAnsi="Times New Roman"/>
              </w:rPr>
              <w:t>2305 oraz z 2023 r. poz. 347 i 641</w:t>
            </w:r>
            <w:r w:rsidRPr="001F568A">
              <w:rPr>
                <w:rFonts w:ascii="Times New Roman" w:hAnsi="Times New Roman"/>
              </w:rPr>
              <w:t>), bez konieczności dodatkowego ich zwiększania ponad ustawowo przyjęty wskaźnik.</w:t>
            </w:r>
          </w:p>
        </w:tc>
      </w:tr>
      <w:tr w:rsidR="00D44846" w:rsidRPr="00074659" w14:paraId="7446DD5E" w14:textId="77777777" w:rsidTr="00247D45">
        <w:trPr>
          <w:trHeight w:val="1333"/>
          <w:jc w:val="center"/>
        </w:trPr>
        <w:tc>
          <w:tcPr>
            <w:tcW w:w="2237" w:type="dxa"/>
            <w:gridSpan w:val="2"/>
            <w:shd w:val="clear" w:color="auto" w:fill="FFFFFF"/>
          </w:tcPr>
          <w:p w14:paraId="69191076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917" w:type="dxa"/>
            <w:gridSpan w:val="25"/>
            <w:shd w:val="clear" w:color="auto" w:fill="auto"/>
          </w:tcPr>
          <w:p w14:paraId="01996A9E" w14:textId="61B02333" w:rsidR="00D44846" w:rsidRPr="00126FEC" w:rsidRDefault="00D44846" w:rsidP="00D4484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FEC">
              <w:rPr>
                <w:rFonts w:ascii="Times New Roman" w:hAnsi="Times New Roman"/>
                <w:color w:val="000000"/>
              </w:rPr>
              <w:t>W ramach uczelni kształcących na</w:t>
            </w:r>
            <w:r>
              <w:rPr>
                <w:rFonts w:ascii="Times New Roman" w:hAnsi="Times New Roman"/>
                <w:color w:val="000000"/>
              </w:rPr>
              <w:t xml:space="preserve"> studiach na</w:t>
            </w:r>
            <w:r w:rsidRPr="00126FEC">
              <w:rPr>
                <w:rFonts w:ascii="Times New Roman" w:hAnsi="Times New Roman"/>
                <w:color w:val="000000"/>
              </w:rPr>
              <w:t xml:space="preserve"> kierunk</w:t>
            </w:r>
            <w:r>
              <w:rPr>
                <w:rFonts w:ascii="Times New Roman" w:hAnsi="Times New Roman"/>
                <w:color w:val="000000"/>
              </w:rPr>
              <w:t>ach</w:t>
            </w:r>
            <w:r w:rsidRPr="00126FEC">
              <w:rPr>
                <w:rFonts w:ascii="Times New Roman" w:hAnsi="Times New Roman"/>
                <w:color w:val="000000"/>
              </w:rPr>
              <w:t xml:space="preserve"> lekarskim lub lekarsko-dentystycznym możemy wyróżnić:</w:t>
            </w:r>
          </w:p>
          <w:p w14:paraId="759BEA84" w14:textId="30A23A30" w:rsidR="00D44846" w:rsidRPr="00126FEC" w:rsidRDefault="00D44846" w:rsidP="00D44846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</w:t>
            </w:r>
            <w:r w:rsidRPr="00126FEC">
              <w:rPr>
                <w:rFonts w:ascii="Times New Roman" w:hAnsi="Times New Roman"/>
                <w:color w:val="000000"/>
              </w:rPr>
              <w:t xml:space="preserve">czelnie publiczne, które otrzymują </w:t>
            </w:r>
            <w:r>
              <w:rPr>
                <w:rFonts w:ascii="Times New Roman" w:hAnsi="Times New Roman"/>
                <w:color w:val="000000"/>
              </w:rPr>
              <w:t>środki finansowe</w:t>
            </w:r>
            <w:r w:rsidRPr="00126FEC">
              <w:rPr>
                <w:rFonts w:ascii="Times New Roman" w:hAnsi="Times New Roman"/>
                <w:color w:val="000000"/>
              </w:rPr>
              <w:t xml:space="preserve"> z budżetu państwa, przekazywan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126FEC">
              <w:rPr>
                <w:rFonts w:ascii="Times New Roman" w:hAnsi="Times New Roman"/>
                <w:color w:val="000000"/>
              </w:rPr>
              <w:t xml:space="preserve"> przez </w:t>
            </w:r>
            <w:r>
              <w:rPr>
                <w:rFonts w:ascii="Times New Roman" w:hAnsi="Times New Roman"/>
                <w:color w:val="000000"/>
              </w:rPr>
              <w:t>ministra właściwego do spraw z</w:t>
            </w:r>
            <w:r w:rsidRPr="00126FEC">
              <w:rPr>
                <w:rFonts w:ascii="Times New Roman" w:hAnsi="Times New Roman"/>
                <w:color w:val="000000"/>
              </w:rPr>
              <w:t xml:space="preserve">drowia na prowadzenie działalności dydaktycznej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126FEC">
              <w:rPr>
                <w:rFonts w:ascii="Times New Roman" w:hAnsi="Times New Roman"/>
                <w:color w:val="000000"/>
              </w:rPr>
              <w:t xml:space="preserve">(z przeznaczeniem na prowadzenie studiów w </w:t>
            </w:r>
            <w:r w:rsidRPr="004B3C14">
              <w:rPr>
                <w:rFonts w:ascii="Times New Roman" w:hAnsi="Times New Roman"/>
                <w:color w:val="000000"/>
              </w:rPr>
              <w:t>formie studiów stacjonarnych</w:t>
            </w:r>
            <w:r w:rsidRPr="00126FEC">
              <w:rPr>
                <w:rFonts w:ascii="Times New Roman" w:hAnsi="Times New Roman"/>
                <w:color w:val="000000"/>
              </w:rPr>
              <w:t xml:space="preserve">, w języku polskim): </w:t>
            </w:r>
            <w:r w:rsidRPr="00EE325E">
              <w:rPr>
                <w:rFonts w:ascii="Times New Roman" w:hAnsi="Times New Roman"/>
                <w:color w:val="000000"/>
              </w:rPr>
              <w:t>Uniwersytet Medyczny w Białymstoku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EE325E">
              <w:rPr>
                <w:rFonts w:ascii="Times New Roman" w:hAnsi="Times New Roman"/>
                <w:color w:val="000000"/>
              </w:rPr>
              <w:t>Gdański Uniwersytet Medyczny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EE325E">
              <w:rPr>
                <w:rFonts w:ascii="Times New Roman" w:hAnsi="Times New Roman"/>
                <w:color w:val="000000"/>
              </w:rPr>
              <w:t>Śląski Uniwersytet Medyczny</w:t>
            </w:r>
            <w:r>
              <w:t xml:space="preserve"> </w:t>
            </w:r>
            <w:r w:rsidRPr="004B3C14">
              <w:rPr>
                <w:rFonts w:ascii="Times New Roman" w:hAnsi="Times New Roman"/>
                <w:color w:val="000000"/>
              </w:rPr>
              <w:t>w Katowicach</w:t>
            </w:r>
            <w:r w:rsidRPr="00EE325E">
              <w:rPr>
                <w:rFonts w:ascii="Times New Roman" w:hAnsi="Times New Roman"/>
                <w:color w:val="000000"/>
              </w:rPr>
              <w:t>, Uniwersytet Medyczny w Lublinie</w:t>
            </w:r>
            <w:r w:rsidRPr="00126FEC">
              <w:rPr>
                <w:rFonts w:ascii="Times New Roman" w:hAnsi="Times New Roman"/>
                <w:color w:val="000000"/>
              </w:rPr>
              <w:t xml:space="preserve">, </w:t>
            </w:r>
            <w:r w:rsidRPr="00EE325E">
              <w:rPr>
                <w:rFonts w:ascii="Times New Roman" w:hAnsi="Times New Roman"/>
                <w:color w:val="000000"/>
              </w:rPr>
              <w:t>Uniwersytet Medyczny w Łodzi, Uniwersytet Medyczny im. Karola Marcinkowskiego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325E">
              <w:rPr>
                <w:rFonts w:ascii="Times New Roman" w:hAnsi="Times New Roman"/>
                <w:color w:val="000000"/>
              </w:rPr>
              <w:t>w Poznaniu, Pomorski Uniwersytet Medyczny w Szczecinie, Warszawski Uniwersytet Medyczny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  <w:t xml:space="preserve">i </w:t>
            </w:r>
            <w:r w:rsidRPr="00EE325E">
              <w:rPr>
                <w:rFonts w:ascii="Times New Roman" w:hAnsi="Times New Roman"/>
                <w:color w:val="000000"/>
              </w:rPr>
              <w:t xml:space="preserve"> Uniwersytet Medyczny im. Piastów Śląskich we Wrocławiu</w:t>
            </w:r>
            <w:r w:rsidRPr="00126FEC">
              <w:rPr>
                <w:rFonts w:ascii="Times New Roman" w:hAnsi="Times New Roman"/>
                <w:color w:val="000000"/>
              </w:rPr>
              <w:t>;</w:t>
            </w:r>
          </w:p>
          <w:p w14:paraId="7980AFDB" w14:textId="7A264134" w:rsidR="00D44846" w:rsidRPr="00126FEC" w:rsidRDefault="00D44846" w:rsidP="00D44846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uczelnię publiczną, która</w:t>
            </w:r>
            <w:r w:rsidRPr="00126FEC">
              <w:rPr>
                <w:rFonts w:ascii="Times New Roman" w:hAnsi="Times New Roman"/>
                <w:color w:val="000000"/>
              </w:rPr>
              <w:t xml:space="preserve"> otrzymuj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126FEC">
              <w:rPr>
                <w:rFonts w:ascii="Times New Roman" w:hAnsi="Times New Roman"/>
                <w:color w:val="000000"/>
              </w:rPr>
              <w:t xml:space="preserve"> z budżetu państwa środki na kształcenie </w:t>
            </w:r>
            <w:r>
              <w:rPr>
                <w:rFonts w:ascii="Times New Roman" w:hAnsi="Times New Roman"/>
                <w:color w:val="000000"/>
              </w:rPr>
              <w:t>na studiach na kierunku lekarskim</w:t>
            </w:r>
            <w:r w:rsidRPr="00126FEC">
              <w:rPr>
                <w:rFonts w:ascii="Times New Roman" w:hAnsi="Times New Roman"/>
                <w:color w:val="000000"/>
              </w:rPr>
              <w:t>, przekazywane przez Ministra Obrony Narodowej</w:t>
            </w:r>
            <w:r>
              <w:rPr>
                <w:rFonts w:ascii="Times New Roman" w:hAnsi="Times New Roman"/>
                <w:color w:val="000000"/>
              </w:rPr>
              <w:t>, tj.</w:t>
            </w:r>
            <w:r w:rsidRPr="00126FEC">
              <w:rPr>
                <w:rFonts w:ascii="Times New Roman" w:hAnsi="Times New Roman"/>
                <w:color w:val="000000"/>
              </w:rPr>
              <w:t xml:space="preserve"> Uniwersytet Medyczny w Łodzi – Wydział Wojskowo-Lekarski, w zakresie w jakim prowadzi kształcenie na potrzeby wojska; </w:t>
            </w:r>
          </w:p>
          <w:p w14:paraId="58E74B22" w14:textId="3515551D" w:rsidR="00D44846" w:rsidRPr="00531A6D" w:rsidRDefault="00D44846" w:rsidP="00D44846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</w:t>
            </w:r>
            <w:r w:rsidRPr="00126FEC">
              <w:rPr>
                <w:rFonts w:ascii="Times New Roman" w:hAnsi="Times New Roman"/>
                <w:color w:val="000000"/>
              </w:rPr>
              <w:t xml:space="preserve">czelnie publiczne, które otrzymują </w:t>
            </w:r>
            <w:r>
              <w:rPr>
                <w:rFonts w:ascii="Times New Roman" w:hAnsi="Times New Roman"/>
                <w:color w:val="000000"/>
              </w:rPr>
              <w:t>środki</w:t>
            </w:r>
            <w:r w:rsidRPr="00126FEC">
              <w:rPr>
                <w:rFonts w:ascii="Times New Roman" w:hAnsi="Times New Roman"/>
                <w:color w:val="000000"/>
              </w:rPr>
              <w:t xml:space="preserve"> z budżetu państwa przekazywan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126FEC">
              <w:rPr>
                <w:rFonts w:ascii="Times New Roman" w:hAnsi="Times New Roman"/>
                <w:color w:val="000000"/>
              </w:rPr>
              <w:t xml:space="preserve"> przez</w:t>
            </w:r>
            <w:r w:rsidRPr="008115C2">
              <w:rPr>
                <w:rFonts w:ascii="Times New Roman" w:hAnsi="Times New Roman"/>
                <w:color w:val="000000"/>
              </w:rPr>
              <w:t xml:space="preserve"> ministra właściwego do spraw szkolnictwa wyższego i nauki</w:t>
            </w:r>
            <w:r w:rsidRPr="00126FEC">
              <w:rPr>
                <w:rFonts w:ascii="Times New Roman" w:hAnsi="Times New Roman"/>
                <w:color w:val="000000"/>
              </w:rPr>
              <w:t xml:space="preserve">: </w:t>
            </w:r>
            <w:r w:rsidRPr="00EE325E">
              <w:rPr>
                <w:rFonts w:ascii="Times New Roman" w:hAnsi="Times New Roman"/>
                <w:color w:val="000000"/>
              </w:rPr>
              <w:t xml:space="preserve">Uniwersytet Mikołaja Kopernika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EE325E">
              <w:rPr>
                <w:rFonts w:ascii="Times New Roman" w:hAnsi="Times New Roman"/>
                <w:color w:val="000000"/>
              </w:rPr>
              <w:t>w Toruniu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115C2">
              <w:rPr>
                <w:rFonts w:ascii="Times New Roman" w:hAnsi="Times New Roman"/>
                <w:color w:val="000000"/>
              </w:rPr>
              <w:t xml:space="preserve"> Uniwersytet Jagielloński</w:t>
            </w:r>
            <w:r>
              <w:rPr>
                <w:rFonts w:ascii="Times New Roman" w:hAnsi="Times New Roman"/>
                <w:color w:val="000000"/>
              </w:rPr>
              <w:t xml:space="preserve"> w Krakowie, </w:t>
            </w:r>
            <w:r w:rsidRPr="008115C2">
              <w:rPr>
                <w:rFonts w:ascii="Times New Roman" w:hAnsi="Times New Roman"/>
                <w:color w:val="000000"/>
              </w:rPr>
              <w:t>Uniwersytet Warmińsko</w:t>
            </w:r>
            <w:r>
              <w:rPr>
                <w:rFonts w:ascii="Times New Roman" w:hAnsi="Times New Roman"/>
                <w:color w:val="000000"/>
              </w:rPr>
              <w:t xml:space="preserve">-Mazurski </w:t>
            </w:r>
            <w:r>
              <w:rPr>
                <w:rFonts w:ascii="Times New Roman" w:hAnsi="Times New Roman"/>
                <w:color w:val="000000"/>
              </w:rPr>
              <w:br/>
              <w:t xml:space="preserve">w Olsztynie, </w:t>
            </w:r>
            <w:r w:rsidRPr="00126FEC">
              <w:rPr>
                <w:rFonts w:ascii="Times New Roman" w:hAnsi="Times New Roman"/>
                <w:color w:val="000000"/>
              </w:rPr>
              <w:t xml:space="preserve">Uniwersytet Jana Kochanowskiego w Kielcach, Uniwersytet Rzeszowski, </w:t>
            </w:r>
            <w:r w:rsidRPr="00E2691B">
              <w:rPr>
                <w:rFonts w:ascii="Times New Roman" w:hAnsi="Times New Roman"/>
                <w:color w:val="000000"/>
              </w:rPr>
              <w:t>Uniwersytet Zielonogórski</w:t>
            </w:r>
            <w:r>
              <w:rPr>
                <w:rFonts w:ascii="Times New Roman" w:hAnsi="Times New Roman"/>
                <w:color w:val="000000"/>
              </w:rPr>
              <w:t xml:space="preserve"> w Zielonej Górze</w:t>
            </w:r>
            <w:r w:rsidRPr="00126FEC">
              <w:rPr>
                <w:rFonts w:ascii="Times New Roman" w:hAnsi="Times New Roman"/>
                <w:color w:val="000000"/>
              </w:rPr>
              <w:t>, Uniwersytet Opolski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26FEC">
              <w:rPr>
                <w:rFonts w:ascii="Times New Roman" w:hAnsi="Times New Roman"/>
                <w:color w:val="000000"/>
              </w:rPr>
              <w:t xml:space="preserve"> </w:t>
            </w:r>
            <w:r w:rsidRPr="00EE3B0A">
              <w:rPr>
                <w:rFonts w:ascii="Times New Roman" w:hAnsi="Times New Roman"/>
                <w:color w:val="000000"/>
              </w:rPr>
              <w:t xml:space="preserve">Uniwersytet </w:t>
            </w:r>
            <w:r w:rsidRPr="00531A6D">
              <w:rPr>
                <w:rFonts w:ascii="Times New Roman" w:hAnsi="Times New Roman"/>
                <w:color w:val="000000"/>
              </w:rPr>
              <w:t>Technologiczno-Humanistyczny im. Kazimierza Pułaskiego w Radomiu, Uniwersytet Kardynała Stefana Wyszyńskiego w Warszawie</w:t>
            </w:r>
            <w:r w:rsidR="00E64810">
              <w:rPr>
                <w:rFonts w:ascii="Times New Roman" w:hAnsi="Times New Roman"/>
                <w:color w:val="000000"/>
              </w:rPr>
              <w:t>,</w:t>
            </w:r>
            <w:r w:rsidR="00F07CE3">
              <w:rPr>
                <w:rFonts w:ascii="Times New Roman" w:hAnsi="Times New Roman"/>
                <w:color w:val="000000"/>
              </w:rPr>
              <w:t xml:space="preserve"> </w:t>
            </w:r>
            <w:r w:rsidRPr="00531A6D">
              <w:rPr>
                <w:rFonts w:ascii="Times" w:eastAsia="Times New Roman" w:hAnsi="Times"/>
                <w:bCs/>
                <w:kern w:val="24"/>
                <w:lang w:eastAsia="pl-PL"/>
              </w:rPr>
              <w:t>Uniwersytet Humanistyczno-Przyrodniczy im. Jana Długosza w Częstochowie</w:t>
            </w:r>
            <w:r w:rsidR="00E64810">
              <w:rPr>
                <w:rFonts w:ascii="Times" w:eastAsia="Times New Roman" w:hAnsi="Times"/>
                <w:bCs/>
                <w:kern w:val="24"/>
                <w:lang w:eastAsia="pl-PL"/>
              </w:rPr>
              <w:t xml:space="preserve">, Katolicki Uniwersytet Lubelski, Akademia Kaliska oraz </w:t>
            </w:r>
            <w:r w:rsidR="00E64810" w:rsidRPr="00E64810">
              <w:rPr>
                <w:rFonts w:ascii="Times" w:eastAsia="Times New Roman" w:hAnsi="Times"/>
                <w:bCs/>
                <w:kern w:val="24"/>
                <w:lang w:eastAsia="pl-PL"/>
              </w:rPr>
              <w:t>Akademia Mazowiecka w Płocku</w:t>
            </w:r>
            <w:r w:rsidR="00141C46">
              <w:rPr>
                <w:rFonts w:ascii="Times" w:eastAsia="Times New Roman" w:hAnsi="Times"/>
                <w:bCs/>
                <w:kern w:val="24"/>
                <w:lang w:eastAsia="pl-PL"/>
              </w:rPr>
              <w:t xml:space="preserve">, </w:t>
            </w:r>
            <w:r w:rsidR="00141C46" w:rsidRPr="00141C46">
              <w:rPr>
                <w:rFonts w:ascii="Times" w:eastAsia="Times New Roman" w:hAnsi="Times"/>
                <w:bCs/>
                <w:kern w:val="24"/>
                <w:lang w:eastAsia="pl-PL"/>
              </w:rPr>
              <w:t>Uniwersytet Przyrodniczo-Humanistycznego w Siedlcach</w:t>
            </w:r>
            <w:r w:rsidRPr="00531A6D">
              <w:rPr>
                <w:rFonts w:ascii="Times New Roman" w:hAnsi="Times New Roman"/>
                <w:color w:val="000000"/>
              </w:rPr>
              <w:t>;</w:t>
            </w:r>
          </w:p>
          <w:p w14:paraId="3C3A4AD1" w14:textId="2C891166" w:rsidR="00D44846" w:rsidRPr="00A82C99" w:rsidRDefault="00D44846" w:rsidP="00D44846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D">
              <w:rPr>
                <w:rFonts w:ascii="Times New Roman" w:hAnsi="Times New Roman"/>
                <w:color w:val="000000"/>
              </w:rPr>
              <w:t>uczelnie niepubliczne, które koszty kształcenia pokrywają</w:t>
            </w:r>
            <w:r w:rsidRPr="00126FEC">
              <w:rPr>
                <w:rFonts w:ascii="Times New Roman" w:hAnsi="Times New Roman"/>
                <w:color w:val="000000"/>
              </w:rPr>
              <w:t xml:space="preserve"> z przychodów własnych (prowadzą studia wyłącznie na zasadzie odpłatności): Krakowska Akademia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126FEC">
              <w:rPr>
                <w:rFonts w:ascii="Times New Roman" w:hAnsi="Times New Roman"/>
                <w:color w:val="000000"/>
              </w:rPr>
              <w:t>im. Andrzeja Frycza Modr</w:t>
            </w:r>
            <w:r>
              <w:rPr>
                <w:rFonts w:ascii="Times New Roman" w:hAnsi="Times New Roman"/>
                <w:color w:val="000000"/>
              </w:rPr>
              <w:t>zewskiego z siedzibą w Krakowie,</w:t>
            </w:r>
            <w:r w:rsidRPr="00126FEC">
              <w:rPr>
                <w:rFonts w:ascii="Times New Roman" w:hAnsi="Times New Roman"/>
                <w:color w:val="000000"/>
              </w:rPr>
              <w:t xml:space="preserve"> Uczelnia Łazarskiego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  <w:t xml:space="preserve">z siedzibą w Warszawie, </w:t>
            </w:r>
            <w:r w:rsidR="00E64810">
              <w:rPr>
                <w:rFonts w:ascii="Times New Roman" w:hAnsi="Times New Roman"/>
                <w:color w:val="000000"/>
              </w:rPr>
              <w:t>Akademia Śląska,</w:t>
            </w:r>
            <w:r w:rsidR="00F07CE3">
              <w:rPr>
                <w:rFonts w:ascii="Times New Roman" w:hAnsi="Times New Roman"/>
                <w:color w:val="000000"/>
              </w:rPr>
              <w:t xml:space="preserve"> </w:t>
            </w:r>
            <w:r w:rsidRPr="006C7505">
              <w:rPr>
                <w:rFonts w:ascii="Times New Roman" w:hAnsi="Times New Roman"/>
                <w:color w:val="000000"/>
              </w:rPr>
              <w:t>Uczelnia Medyczna im. Marii Skłodowskiej-Curie w Warszawie</w:t>
            </w:r>
            <w:r w:rsidR="00E64810">
              <w:rPr>
                <w:rFonts w:ascii="Times New Roman" w:hAnsi="Times New Roman"/>
                <w:color w:val="000000"/>
              </w:rPr>
              <w:t xml:space="preserve"> oraz </w:t>
            </w:r>
            <w:r w:rsidR="00E64810" w:rsidRPr="00E64810">
              <w:rPr>
                <w:rFonts w:ascii="Times New Roman" w:hAnsi="Times New Roman"/>
                <w:color w:val="000000"/>
              </w:rPr>
              <w:t>Akademia Medycznych i Społecznych Nauk Stosowanych</w:t>
            </w:r>
            <w:r w:rsidR="000B05A4">
              <w:rPr>
                <w:rFonts w:ascii="Times New Roman" w:hAnsi="Times New Roman"/>
                <w:color w:val="000000"/>
              </w:rPr>
              <w:t xml:space="preserve"> w </w:t>
            </w:r>
            <w:r w:rsidR="00F418B9">
              <w:rPr>
                <w:rFonts w:ascii="Times New Roman" w:hAnsi="Times New Roman"/>
                <w:color w:val="000000"/>
              </w:rPr>
              <w:t>Elblągu</w:t>
            </w:r>
            <w:r w:rsidR="00141C46">
              <w:rPr>
                <w:rFonts w:ascii="Times New Roman" w:hAnsi="Times New Roman"/>
                <w:color w:val="000000"/>
              </w:rPr>
              <w:t xml:space="preserve">, </w:t>
            </w:r>
            <w:r w:rsidR="00141C46" w:rsidRPr="00141C46">
              <w:rPr>
                <w:rFonts w:ascii="Times New Roman" w:hAnsi="Times New Roman"/>
                <w:color w:val="000000"/>
              </w:rPr>
              <w:t>Akademii Nauk Stosowanych im. Księcia Mieszka I w Poznaniu</w:t>
            </w:r>
            <w:r w:rsidRPr="00126FEC">
              <w:rPr>
                <w:rFonts w:ascii="Times New Roman" w:hAnsi="Times New Roman"/>
                <w:color w:val="000000"/>
              </w:rPr>
              <w:t>.</w:t>
            </w:r>
          </w:p>
          <w:p w14:paraId="23550A3F" w14:textId="77777777" w:rsidR="00D44846" w:rsidRDefault="00D44846" w:rsidP="00D4484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076CFF5" w14:textId="51C603F2" w:rsidR="00D44846" w:rsidRPr="00BF0FEF" w:rsidRDefault="00D44846" w:rsidP="00D448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F0FEF">
              <w:rPr>
                <w:rFonts w:ascii="Times New Roman" w:hAnsi="Times New Roman"/>
              </w:rPr>
              <w:t>P</w:t>
            </w:r>
            <w:r w:rsidRPr="00BF0FEF">
              <w:rPr>
                <w:rFonts w:ascii="Times New Roman" w:hAnsi="Times New Roman"/>
                <w:color w:val="000000"/>
              </w:rPr>
              <w:t xml:space="preserve">olityka </w:t>
            </w:r>
            <w:r>
              <w:rPr>
                <w:rFonts w:ascii="Times New Roman" w:hAnsi="Times New Roman"/>
                <w:color w:val="000000"/>
              </w:rPr>
              <w:t xml:space="preserve">ministra właściwego do spraw zdrowia </w:t>
            </w:r>
            <w:r w:rsidRPr="00BF0FEF">
              <w:rPr>
                <w:rFonts w:ascii="Times New Roman" w:hAnsi="Times New Roman"/>
                <w:color w:val="000000"/>
              </w:rPr>
              <w:t>zmierzająca do zwiększania limitów przyjęć</w:t>
            </w:r>
            <w:r>
              <w:rPr>
                <w:rFonts w:ascii="Times New Roman" w:hAnsi="Times New Roman"/>
                <w:color w:val="000000"/>
              </w:rPr>
              <w:t xml:space="preserve"> na studia</w:t>
            </w:r>
            <w:r w:rsidRPr="00BF0FE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w</w:t>
            </w:r>
            <w:r w:rsidRPr="00BF0FEF">
              <w:rPr>
                <w:rFonts w:ascii="Times New Roman" w:hAnsi="Times New Roman"/>
                <w:color w:val="000000"/>
              </w:rPr>
              <w:t xml:space="preserve"> uczelniach na kierunk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BF0FEF">
              <w:rPr>
                <w:rFonts w:ascii="Times New Roman" w:hAnsi="Times New Roman"/>
                <w:color w:val="000000"/>
              </w:rPr>
              <w:t xml:space="preserve"> lekarski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Pr="00BF0FE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jest </w:t>
            </w:r>
            <w:r w:rsidRPr="00BF0FEF">
              <w:rPr>
                <w:rFonts w:ascii="Times New Roman" w:hAnsi="Times New Roman"/>
                <w:color w:val="000000"/>
              </w:rPr>
              <w:t xml:space="preserve">podyktowana przede wszystkim </w:t>
            </w:r>
            <w:r w:rsidRPr="00BF0FEF">
              <w:rPr>
                <w:rFonts w:ascii="Times New Roman" w:hAnsi="Times New Roman"/>
              </w:rPr>
              <w:t xml:space="preserve">zapotrzebowaniem rynku pracy na absolwentów </w:t>
            </w:r>
            <w:r>
              <w:rPr>
                <w:rFonts w:ascii="Times New Roman" w:hAnsi="Times New Roman"/>
              </w:rPr>
              <w:t xml:space="preserve">studiów na </w:t>
            </w:r>
            <w:r w:rsidRPr="00BF0FEF">
              <w:rPr>
                <w:rFonts w:ascii="Times New Roman" w:hAnsi="Times New Roman"/>
              </w:rPr>
              <w:t>ww. kierunk</w:t>
            </w:r>
            <w:r>
              <w:rPr>
                <w:rFonts w:ascii="Times New Roman" w:hAnsi="Times New Roman"/>
              </w:rPr>
              <w:t>u</w:t>
            </w:r>
            <w:r w:rsidRPr="00BF0FEF">
              <w:rPr>
                <w:rFonts w:ascii="Times New Roman" w:hAnsi="Times New Roman"/>
              </w:rPr>
              <w:t xml:space="preserve">. Wiąże się to </w:t>
            </w:r>
            <w:r>
              <w:rPr>
                <w:rFonts w:ascii="Times New Roman" w:hAnsi="Times New Roman"/>
              </w:rPr>
              <w:br/>
            </w:r>
            <w:r w:rsidRPr="00BF0FEF">
              <w:rPr>
                <w:rFonts w:ascii="Times New Roman" w:hAnsi="Times New Roman"/>
              </w:rPr>
              <w:t xml:space="preserve">z potrzebą zapewnienia każdemu pacjentowi swobodnego dostępu do świadczeń </w:t>
            </w:r>
            <w:r>
              <w:rPr>
                <w:rFonts w:ascii="Times New Roman" w:hAnsi="Times New Roman"/>
              </w:rPr>
              <w:t>opieki zdrowotnej</w:t>
            </w:r>
            <w:r w:rsidRPr="00BF0FEF">
              <w:rPr>
                <w:rFonts w:ascii="Times New Roman" w:hAnsi="Times New Roman"/>
              </w:rPr>
              <w:t xml:space="preserve"> wykonywanych przez wszystkich specjalistów bez konieczności </w:t>
            </w:r>
            <w:r>
              <w:rPr>
                <w:rFonts w:ascii="Times New Roman" w:hAnsi="Times New Roman"/>
              </w:rPr>
              <w:t>długiego</w:t>
            </w:r>
            <w:r w:rsidRPr="00BF0FEF">
              <w:rPr>
                <w:rFonts w:ascii="Times New Roman" w:hAnsi="Times New Roman"/>
              </w:rPr>
              <w:t xml:space="preserve"> oczekiwania na wizytę. Efektem zwiększenia limitów przyjęć na </w:t>
            </w:r>
            <w:r>
              <w:rPr>
                <w:rFonts w:ascii="Times New Roman" w:hAnsi="Times New Roman"/>
              </w:rPr>
              <w:t xml:space="preserve">studia na </w:t>
            </w:r>
            <w:r w:rsidRPr="00BF0FEF">
              <w:rPr>
                <w:rFonts w:ascii="Times New Roman" w:hAnsi="Times New Roman"/>
              </w:rPr>
              <w:t>kierun</w:t>
            </w:r>
            <w:r>
              <w:rPr>
                <w:rFonts w:ascii="Times New Roman" w:hAnsi="Times New Roman"/>
              </w:rPr>
              <w:t>ku</w:t>
            </w:r>
            <w:r w:rsidRPr="00BF0FEF">
              <w:rPr>
                <w:rFonts w:ascii="Times New Roman" w:hAnsi="Times New Roman"/>
              </w:rPr>
              <w:t xml:space="preserve"> lekarski</w:t>
            </w:r>
            <w:r>
              <w:rPr>
                <w:rFonts w:ascii="Times New Roman" w:hAnsi="Times New Roman"/>
              </w:rPr>
              <w:t>m</w:t>
            </w:r>
            <w:r w:rsidRPr="00BF0FEF">
              <w:rPr>
                <w:rFonts w:ascii="Times New Roman" w:hAnsi="Times New Roman"/>
              </w:rPr>
              <w:t xml:space="preserve"> będzie więc poprawienie sytuacji w ww. zakresie.  </w:t>
            </w:r>
          </w:p>
          <w:p w14:paraId="39149EE7" w14:textId="27B9686B" w:rsidR="00D44846" w:rsidRPr="007A2AE0" w:rsidRDefault="00D44846" w:rsidP="00D44846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26FEC">
              <w:rPr>
                <w:rFonts w:ascii="Times New Roman" w:hAnsi="Times New Roman"/>
                <w:color w:val="000000"/>
              </w:rPr>
              <w:t xml:space="preserve">W obliczu odczuwalnych w systemie </w:t>
            </w:r>
            <w:r>
              <w:rPr>
                <w:rFonts w:ascii="Times New Roman" w:hAnsi="Times New Roman"/>
                <w:color w:val="000000"/>
              </w:rPr>
              <w:t xml:space="preserve">zdrowia </w:t>
            </w:r>
            <w:r w:rsidRPr="00126FEC">
              <w:rPr>
                <w:rFonts w:ascii="Times New Roman" w:hAnsi="Times New Roman"/>
                <w:color w:val="000000"/>
              </w:rPr>
              <w:t xml:space="preserve">braków kadrowych, w szczególności lekarzy,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126FEC">
              <w:rPr>
                <w:rFonts w:ascii="Times New Roman" w:hAnsi="Times New Roman"/>
                <w:color w:val="000000"/>
              </w:rPr>
              <w:t xml:space="preserve">w </w:t>
            </w:r>
            <w:r w:rsidR="00E64810" w:rsidRPr="00126FEC">
              <w:rPr>
                <w:rFonts w:ascii="Times New Roman" w:hAnsi="Times New Roman"/>
                <w:color w:val="000000"/>
              </w:rPr>
              <w:t>20</w:t>
            </w:r>
            <w:r w:rsidR="00E64810">
              <w:rPr>
                <w:rFonts w:ascii="Times New Roman" w:hAnsi="Times New Roman"/>
                <w:color w:val="000000"/>
              </w:rPr>
              <w:t xml:space="preserve">23 </w:t>
            </w:r>
            <w:r>
              <w:rPr>
                <w:rFonts w:ascii="Times New Roman" w:hAnsi="Times New Roman"/>
                <w:color w:val="000000"/>
              </w:rPr>
              <w:t>r.</w:t>
            </w:r>
            <w:r w:rsidRPr="00126FE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Pr="00126FEC">
              <w:rPr>
                <w:rFonts w:ascii="Times New Roman" w:hAnsi="Times New Roman"/>
                <w:color w:val="000000"/>
              </w:rPr>
              <w:t>inister</w:t>
            </w:r>
            <w:r>
              <w:rPr>
                <w:rFonts w:ascii="Times New Roman" w:hAnsi="Times New Roman"/>
                <w:color w:val="000000"/>
              </w:rPr>
              <w:t xml:space="preserve"> właściwy do spraw</w:t>
            </w:r>
            <w:r w:rsidRPr="00126FE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</w:t>
            </w:r>
            <w:r w:rsidRPr="00126FEC">
              <w:rPr>
                <w:rFonts w:ascii="Times New Roman" w:hAnsi="Times New Roman"/>
                <w:color w:val="000000"/>
              </w:rPr>
              <w:t xml:space="preserve">drowia zwrócił się do uczelni </w:t>
            </w:r>
            <w:r>
              <w:rPr>
                <w:rFonts w:ascii="Times New Roman" w:hAnsi="Times New Roman"/>
                <w:color w:val="000000"/>
              </w:rPr>
              <w:t xml:space="preserve">prowadzących kształcenie na kierunkach lekarskim i lekarsko-dentystycznym </w:t>
            </w:r>
            <w:r w:rsidRPr="00126FEC">
              <w:rPr>
                <w:rFonts w:ascii="Times New Roman" w:hAnsi="Times New Roman"/>
                <w:color w:val="000000"/>
              </w:rPr>
              <w:t xml:space="preserve">o oszacowanie swoich możliwości organizacyjnych pozwalających na zwiększenie liczby studentów. Biorąc pod uwagę średni koszt kształcenia w skali roku oraz możliwości organizacyjne uczelni, 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Pr="00126FEC">
              <w:rPr>
                <w:rFonts w:ascii="Times New Roman" w:hAnsi="Times New Roman"/>
                <w:color w:val="000000"/>
              </w:rPr>
              <w:t xml:space="preserve">inister </w:t>
            </w:r>
            <w:r>
              <w:rPr>
                <w:rFonts w:ascii="Times New Roman" w:hAnsi="Times New Roman"/>
                <w:color w:val="000000"/>
              </w:rPr>
              <w:t>właściwy do spraw zdrowia w drodze rozporządzenia, dotyczącego</w:t>
            </w:r>
            <w:r w:rsidRPr="00126FEC">
              <w:rPr>
                <w:rFonts w:ascii="Times New Roman" w:hAnsi="Times New Roman"/>
                <w:color w:val="000000"/>
              </w:rPr>
              <w:t xml:space="preserve"> limit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126FEC">
              <w:rPr>
                <w:rFonts w:ascii="Times New Roman" w:hAnsi="Times New Roman"/>
                <w:color w:val="000000"/>
              </w:rPr>
              <w:t xml:space="preserve"> przyjęć </w:t>
            </w:r>
            <w:r>
              <w:rPr>
                <w:rFonts w:ascii="Times New Roman" w:hAnsi="Times New Roman"/>
                <w:color w:val="000000"/>
              </w:rPr>
              <w:t xml:space="preserve">odpowiednio </w:t>
            </w:r>
            <w:r w:rsidRPr="00DD0A7B">
              <w:rPr>
                <w:rFonts w:ascii="Times New Roman" w:hAnsi="Times New Roman"/>
                <w:color w:val="000000"/>
              </w:rPr>
              <w:t>zmodyfikował</w:t>
            </w:r>
            <w:r w:rsidRPr="00126FEC">
              <w:rPr>
                <w:rFonts w:ascii="Times New Roman" w:hAnsi="Times New Roman"/>
                <w:color w:val="000000"/>
              </w:rPr>
              <w:t xml:space="preserve"> planowany </w:t>
            </w:r>
            <w:r>
              <w:rPr>
                <w:rFonts w:ascii="Times New Roman" w:hAnsi="Times New Roman"/>
                <w:color w:val="000000"/>
              </w:rPr>
              <w:t>limit przyjęć</w:t>
            </w:r>
            <w:r w:rsidRPr="00126FEC">
              <w:rPr>
                <w:rFonts w:ascii="Times New Roman" w:hAnsi="Times New Roman"/>
                <w:color w:val="000000"/>
              </w:rPr>
              <w:t xml:space="preserve"> na studia </w:t>
            </w:r>
            <w:r>
              <w:rPr>
                <w:rFonts w:ascii="Times New Roman" w:hAnsi="Times New Roman"/>
                <w:color w:val="000000"/>
              </w:rPr>
              <w:t>n</w:t>
            </w:r>
            <w:r w:rsidRPr="00126FEC">
              <w:rPr>
                <w:rFonts w:ascii="Times New Roman" w:hAnsi="Times New Roman"/>
                <w:color w:val="000000"/>
              </w:rPr>
              <w:t>a kierunk</w:t>
            </w:r>
            <w:r>
              <w:rPr>
                <w:rFonts w:ascii="Times New Roman" w:hAnsi="Times New Roman"/>
                <w:color w:val="000000"/>
              </w:rPr>
              <w:t>ach</w:t>
            </w:r>
            <w:r w:rsidRPr="00126FEC">
              <w:rPr>
                <w:rFonts w:ascii="Times New Roman" w:hAnsi="Times New Roman"/>
                <w:color w:val="000000"/>
              </w:rPr>
              <w:t xml:space="preserve"> lekarskim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6FEC">
              <w:rPr>
                <w:rFonts w:ascii="Times New Roman" w:hAnsi="Times New Roman"/>
                <w:color w:val="000000"/>
              </w:rPr>
              <w:t>i lekarsko-dentystycznym (prowadzonych w</w:t>
            </w:r>
            <w:r>
              <w:rPr>
                <w:rFonts w:ascii="Times New Roman" w:hAnsi="Times New Roman"/>
                <w:color w:val="000000"/>
              </w:rPr>
              <w:t xml:space="preserve"> formie</w:t>
            </w:r>
            <w:r w:rsidRPr="00126FE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studiów </w:t>
            </w:r>
            <w:r w:rsidRPr="00126FEC">
              <w:rPr>
                <w:rFonts w:ascii="Times New Roman" w:hAnsi="Times New Roman"/>
                <w:color w:val="000000"/>
              </w:rPr>
              <w:t>stacjonarny</w:t>
            </w:r>
            <w:r>
              <w:rPr>
                <w:rFonts w:ascii="Times New Roman" w:hAnsi="Times New Roman"/>
                <w:color w:val="000000"/>
              </w:rPr>
              <w:t>ch</w:t>
            </w:r>
            <w:r w:rsidRPr="00126FEC">
              <w:rPr>
                <w:rFonts w:ascii="Times New Roman" w:hAnsi="Times New Roman"/>
                <w:color w:val="000000"/>
              </w:rPr>
              <w:t xml:space="preserve"> w języku polskim</w:t>
            </w:r>
            <w:r>
              <w:rPr>
                <w:rFonts w:ascii="Times New Roman" w:hAnsi="Times New Roman"/>
                <w:color w:val="000000"/>
              </w:rPr>
              <w:t xml:space="preserve"> dla obywateli polskich, </w:t>
            </w:r>
            <w:r w:rsidR="004F2413" w:rsidRPr="00126FEC">
              <w:rPr>
                <w:rFonts w:ascii="Times New Roman" w:hAnsi="Times New Roman"/>
                <w:color w:val="000000"/>
              </w:rPr>
              <w:t>prowadzonych w</w:t>
            </w:r>
            <w:r w:rsidR="004F2413">
              <w:rPr>
                <w:rFonts w:ascii="Times New Roman" w:hAnsi="Times New Roman"/>
                <w:color w:val="000000"/>
              </w:rPr>
              <w:t xml:space="preserve"> formie</w:t>
            </w:r>
            <w:r w:rsidR="004F2413" w:rsidRPr="00126FEC">
              <w:rPr>
                <w:rFonts w:ascii="Times New Roman" w:hAnsi="Times New Roman"/>
                <w:color w:val="000000"/>
              </w:rPr>
              <w:t xml:space="preserve"> </w:t>
            </w:r>
            <w:r w:rsidR="004F2413">
              <w:rPr>
                <w:rFonts w:ascii="Times New Roman" w:hAnsi="Times New Roman"/>
                <w:color w:val="000000"/>
              </w:rPr>
              <w:t xml:space="preserve">studiów </w:t>
            </w:r>
            <w:r w:rsidR="004F2413" w:rsidRPr="00126FEC">
              <w:rPr>
                <w:rFonts w:ascii="Times New Roman" w:hAnsi="Times New Roman"/>
                <w:color w:val="000000"/>
              </w:rPr>
              <w:t>stacjonarny</w:t>
            </w:r>
            <w:r w:rsidR="004F2413">
              <w:rPr>
                <w:rFonts w:ascii="Times New Roman" w:hAnsi="Times New Roman"/>
                <w:color w:val="000000"/>
              </w:rPr>
              <w:t>ch</w:t>
            </w:r>
            <w:r w:rsidR="004F2413" w:rsidRPr="00126FEC">
              <w:rPr>
                <w:rFonts w:ascii="Times New Roman" w:hAnsi="Times New Roman"/>
                <w:color w:val="000000"/>
              </w:rPr>
              <w:t xml:space="preserve"> w języku polskim</w:t>
            </w:r>
            <w:r w:rsidR="004F2413">
              <w:rPr>
                <w:rFonts w:ascii="Times New Roman" w:hAnsi="Times New Roman"/>
                <w:color w:val="000000"/>
              </w:rPr>
              <w:t xml:space="preserve"> dla cudzoziemców, </w:t>
            </w:r>
            <w:r>
              <w:rPr>
                <w:rFonts w:ascii="Times New Roman" w:hAnsi="Times New Roman"/>
                <w:color w:val="000000"/>
              </w:rPr>
              <w:t>niestacjonarnych w języku polskim oraz stacjonarnych lub niestacjonarnych w języku innym niż język polski</w:t>
            </w:r>
            <w:r w:rsidRPr="00126FEC">
              <w:rPr>
                <w:rFonts w:ascii="Times New Roman" w:hAnsi="Times New Roman"/>
                <w:color w:val="000000"/>
              </w:rPr>
              <w:t xml:space="preserve">) łącznie </w:t>
            </w:r>
            <w:r w:rsidRPr="00721B35">
              <w:rPr>
                <w:rFonts w:ascii="Times New Roman" w:hAnsi="Times New Roman"/>
                <w:color w:val="000000"/>
              </w:rPr>
              <w:t>o</w:t>
            </w:r>
            <w:r w:rsidRPr="00126FE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141C46">
              <w:rPr>
                <w:rFonts w:ascii="Times New Roman" w:hAnsi="Times New Roman"/>
                <w:color w:val="000000"/>
              </w:rPr>
              <w:t xml:space="preserve">322 </w:t>
            </w:r>
            <w:r w:rsidRPr="00AD74DE">
              <w:rPr>
                <w:rFonts w:ascii="Times New Roman" w:hAnsi="Times New Roman"/>
                <w:bCs/>
                <w:color w:val="000000"/>
              </w:rPr>
              <w:t xml:space="preserve">miejsc (w tym </w:t>
            </w:r>
            <w:r w:rsidR="00BA58AF">
              <w:rPr>
                <w:rFonts w:ascii="Times New Roman" w:hAnsi="Times New Roman"/>
                <w:bCs/>
                <w:color w:val="000000"/>
              </w:rPr>
              <w:t>41</w:t>
            </w:r>
            <w:r w:rsidR="00BA58AF" w:rsidRPr="0006572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D74DE">
              <w:rPr>
                <w:rFonts w:ascii="Times New Roman" w:hAnsi="Times New Roman"/>
                <w:bCs/>
                <w:color w:val="000000"/>
              </w:rPr>
              <w:t xml:space="preserve">miejsc </w:t>
            </w:r>
            <w:r>
              <w:rPr>
                <w:rFonts w:ascii="Times New Roman" w:hAnsi="Times New Roman"/>
                <w:bCs/>
                <w:color w:val="000000"/>
              </w:rPr>
              <w:t>w</w:t>
            </w:r>
            <w:r w:rsidRPr="00AD74DE">
              <w:rPr>
                <w:rFonts w:ascii="Times New Roman" w:hAnsi="Times New Roman"/>
                <w:bCs/>
                <w:color w:val="000000"/>
              </w:rPr>
              <w:t xml:space="preserve"> uczelniach nadzorowanych przez </w:t>
            </w:r>
            <w:r>
              <w:rPr>
                <w:rFonts w:ascii="Times New Roman" w:hAnsi="Times New Roman"/>
                <w:bCs/>
                <w:color w:val="000000"/>
              </w:rPr>
              <w:t>m</w:t>
            </w:r>
            <w:r w:rsidRPr="00AD74DE">
              <w:rPr>
                <w:rFonts w:ascii="Times New Roman" w:hAnsi="Times New Roman"/>
                <w:bCs/>
                <w:color w:val="000000"/>
              </w:rPr>
              <w:t xml:space="preserve">inistra </w:t>
            </w:r>
            <w:r>
              <w:rPr>
                <w:rFonts w:ascii="Times New Roman" w:hAnsi="Times New Roman"/>
                <w:bCs/>
                <w:color w:val="000000"/>
              </w:rPr>
              <w:t>właściwego do spraw z</w:t>
            </w:r>
            <w:r w:rsidRPr="00AD74DE">
              <w:rPr>
                <w:rFonts w:ascii="Times New Roman" w:hAnsi="Times New Roman"/>
                <w:bCs/>
                <w:color w:val="000000"/>
              </w:rPr>
              <w:t>drowia</w:t>
            </w:r>
            <w:r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AD74DE">
              <w:rPr>
                <w:rFonts w:ascii="Times New Roman" w:hAnsi="Times New Roman"/>
                <w:bCs/>
                <w:color w:val="000000"/>
              </w:rPr>
              <w:t xml:space="preserve">i </w:t>
            </w:r>
            <w:r w:rsidR="00141C46">
              <w:rPr>
                <w:rFonts w:ascii="Times New Roman" w:hAnsi="Times New Roman"/>
                <w:bCs/>
                <w:color w:val="000000"/>
              </w:rPr>
              <w:t>281</w:t>
            </w:r>
            <w:r w:rsidR="00141C46" w:rsidRPr="0006572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D74DE">
              <w:rPr>
                <w:rFonts w:ascii="Times New Roman" w:hAnsi="Times New Roman"/>
                <w:bCs/>
                <w:color w:val="000000"/>
              </w:rPr>
              <w:t xml:space="preserve">miejsc </w:t>
            </w:r>
            <w:r>
              <w:rPr>
                <w:rFonts w:ascii="Times New Roman" w:hAnsi="Times New Roman"/>
                <w:bCs/>
                <w:color w:val="000000"/>
              </w:rPr>
              <w:t>w</w:t>
            </w:r>
            <w:r w:rsidRPr="00AD74DE">
              <w:rPr>
                <w:rFonts w:ascii="Times New Roman" w:hAnsi="Times New Roman"/>
                <w:bCs/>
                <w:color w:val="000000"/>
              </w:rPr>
              <w:t xml:space="preserve"> pozostałych uczelniach)</w:t>
            </w:r>
            <w:r w:rsidRPr="002B0071"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  <w:p w14:paraId="6720E6E5" w14:textId="77777777" w:rsidR="00D44846" w:rsidRPr="00074659" w:rsidRDefault="00D44846" w:rsidP="00D4484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6510">
              <w:rPr>
                <w:rFonts w:ascii="Times New Roman" w:hAnsi="Times New Roman"/>
                <w:color w:val="000000"/>
              </w:rPr>
              <w:t>Koszty studiów (dydaktyki) prowadzonych w formie studiów niestacjonarnych i stacjonarnych w języku obcym ponosi uczelnia z uzyskiwanych przychodów.</w:t>
            </w:r>
          </w:p>
        </w:tc>
      </w:tr>
      <w:tr w:rsidR="00D44846" w:rsidRPr="00074659" w14:paraId="78555933" w14:textId="77777777" w:rsidTr="00247D45">
        <w:trPr>
          <w:trHeight w:val="345"/>
          <w:jc w:val="center"/>
        </w:trPr>
        <w:tc>
          <w:tcPr>
            <w:tcW w:w="11154" w:type="dxa"/>
            <w:gridSpan w:val="27"/>
            <w:shd w:val="clear" w:color="auto" w:fill="99CCFF"/>
          </w:tcPr>
          <w:p w14:paraId="5DA75ADB" w14:textId="77777777" w:rsidR="00D44846" w:rsidRPr="00074659" w:rsidRDefault="00D44846" w:rsidP="00D4484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74659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44846" w:rsidRPr="00074659" w14:paraId="6482063B" w14:textId="77777777" w:rsidTr="00247D45">
        <w:trPr>
          <w:trHeight w:val="142"/>
          <w:jc w:val="center"/>
        </w:trPr>
        <w:tc>
          <w:tcPr>
            <w:tcW w:w="11154" w:type="dxa"/>
            <w:gridSpan w:val="27"/>
            <w:shd w:val="clear" w:color="auto" w:fill="FFFFFF"/>
          </w:tcPr>
          <w:p w14:paraId="7D4BEAF7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D44846" w:rsidRPr="00074659" w14:paraId="0BDD6920" w14:textId="77777777" w:rsidTr="00247D45">
        <w:trPr>
          <w:gridAfter w:val="1"/>
          <w:wAfter w:w="8" w:type="dxa"/>
          <w:trHeight w:val="142"/>
          <w:jc w:val="center"/>
        </w:trPr>
        <w:tc>
          <w:tcPr>
            <w:tcW w:w="3994" w:type="dxa"/>
            <w:gridSpan w:val="6"/>
            <w:shd w:val="clear" w:color="auto" w:fill="FFFFFF"/>
          </w:tcPr>
          <w:p w14:paraId="6B35F30D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lastRenderedPageBreak/>
              <w:t>Czas w latach od wejścia w życie zmian</w:t>
            </w:r>
          </w:p>
        </w:tc>
        <w:tc>
          <w:tcPr>
            <w:tcW w:w="915" w:type="dxa"/>
            <w:shd w:val="clear" w:color="auto" w:fill="FFFFFF"/>
          </w:tcPr>
          <w:p w14:paraId="53DA818B" w14:textId="00A8935B" w:rsidR="00D44846" w:rsidRDefault="00D44846" w:rsidP="00D448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tj. rok akade-</w:t>
            </w:r>
          </w:p>
          <w:p w14:paraId="48E66AE1" w14:textId="14C52D4E" w:rsidR="00D44846" w:rsidRDefault="00D44846" w:rsidP="00D448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micki </w:t>
            </w:r>
            <w:r w:rsidR="00C015E4">
              <w:rPr>
                <w:rFonts w:ascii="Times New Roman" w:hAnsi="Times New Roman"/>
                <w:color w:val="000000"/>
              </w:rPr>
              <w:t>2023</w:t>
            </w:r>
            <w:r>
              <w:rPr>
                <w:rFonts w:ascii="Times New Roman" w:hAnsi="Times New Roman"/>
                <w:color w:val="000000"/>
              </w:rPr>
              <w:t>/</w:t>
            </w:r>
          </w:p>
          <w:p w14:paraId="0FBA2FF6" w14:textId="6B67CA26" w:rsidR="00D44846" w:rsidRPr="00074659" w:rsidRDefault="00C015E4" w:rsidP="00D448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087" w:type="dxa"/>
            <w:gridSpan w:val="3"/>
            <w:shd w:val="clear" w:color="auto" w:fill="FFFFFF"/>
          </w:tcPr>
          <w:p w14:paraId="74CEBC1E" w14:textId="77777777" w:rsidR="00D44846" w:rsidRPr="00074659" w:rsidRDefault="00D44846" w:rsidP="00D448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13BD3D" w14:textId="77777777" w:rsidR="00D44846" w:rsidRPr="00074659" w:rsidRDefault="00D44846" w:rsidP="00D448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224FAE32" w14:textId="77777777" w:rsidR="00D44846" w:rsidRPr="00074659" w:rsidRDefault="00D44846" w:rsidP="00D448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65DA7041" w14:textId="77777777" w:rsidR="00D44846" w:rsidRPr="00074659" w:rsidRDefault="00D44846" w:rsidP="00D448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5" w:type="dxa"/>
            <w:gridSpan w:val="3"/>
            <w:shd w:val="clear" w:color="auto" w:fill="FFFFFF"/>
          </w:tcPr>
          <w:p w14:paraId="08116162" w14:textId="77777777" w:rsidR="00D44846" w:rsidRPr="00074659" w:rsidRDefault="00D44846" w:rsidP="00D448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99" w:type="dxa"/>
            <w:gridSpan w:val="2"/>
            <w:shd w:val="clear" w:color="auto" w:fill="FFFFFF"/>
          </w:tcPr>
          <w:p w14:paraId="1DD19211" w14:textId="77777777" w:rsidR="00D44846" w:rsidRPr="00074659" w:rsidRDefault="00D44846" w:rsidP="00D448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074659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074659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D44846" w:rsidRPr="00074659" w14:paraId="4A81FC7B" w14:textId="77777777" w:rsidTr="00247D45">
        <w:trPr>
          <w:gridAfter w:val="1"/>
          <w:wAfter w:w="8" w:type="dxa"/>
          <w:trHeight w:val="142"/>
          <w:jc w:val="center"/>
        </w:trPr>
        <w:tc>
          <w:tcPr>
            <w:tcW w:w="1592" w:type="dxa"/>
            <w:vMerge w:val="restart"/>
            <w:shd w:val="clear" w:color="auto" w:fill="FFFFFF"/>
          </w:tcPr>
          <w:p w14:paraId="4816A706" w14:textId="77777777" w:rsidR="00D44846" w:rsidRPr="00074659" w:rsidRDefault="00D44846" w:rsidP="00D44846">
            <w:pPr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8126613" w14:textId="77777777" w:rsidR="00D44846" w:rsidRPr="00074659" w:rsidRDefault="00D44846" w:rsidP="00D44846">
            <w:pPr>
              <w:rPr>
                <w:rFonts w:ascii="Times New Roman" w:hAnsi="Times New Roman"/>
                <w:spacing w:val="-2"/>
              </w:rPr>
            </w:pPr>
            <w:r w:rsidRPr="00074659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64E2B906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402" w:type="dxa"/>
            <w:gridSpan w:val="5"/>
            <w:shd w:val="clear" w:color="auto" w:fill="FFFFFF"/>
          </w:tcPr>
          <w:p w14:paraId="68E0F803" w14:textId="4869F272" w:rsidR="00D44846" w:rsidRPr="00477246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E503F5">
              <w:rPr>
                <w:rFonts w:ascii="Times New Roman" w:hAnsi="Times New Roman"/>
                <w:color w:val="000000"/>
              </w:rPr>
              <w:t>uczelnie publiczne otrzymując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E503F5">
              <w:rPr>
                <w:rFonts w:ascii="Times New Roman" w:hAnsi="Times New Roman"/>
                <w:color w:val="000000"/>
              </w:rPr>
              <w:t xml:space="preserve"> dotacj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E503F5">
              <w:rPr>
                <w:rFonts w:ascii="Times New Roman" w:hAnsi="Times New Roman"/>
                <w:color w:val="000000"/>
              </w:rPr>
              <w:t xml:space="preserve"> za pośrednictwem Ministra Zdrowia</w:t>
            </w:r>
          </w:p>
        </w:tc>
        <w:tc>
          <w:tcPr>
            <w:tcW w:w="915" w:type="dxa"/>
            <w:shd w:val="clear" w:color="auto" w:fill="auto"/>
          </w:tcPr>
          <w:p w14:paraId="19978D51" w14:textId="2B4555C6" w:rsidR="00D44846" w:rsidRPr="00477246" w:rsidRDefault="00D44846" w:rsidP="00D448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087" w:type="dxa"/>
            <w:gridSpan w:val="3"/>
            <w:shd w:val="clear" w:color="auto" w:fill="auto"/>
          </w:tcPr>
          <w:p w14:paraId="66152A6D" w14:textId="77777777" w:rsidR="00D44846" w:rsidRPr="008C75A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938" w:type="dxa"/>
            <w:gridSpan w:val="4"/>
            <w:shd w:val="clear" w:color="auto" w:fill="auto"/>
          </w:tcPr>
          <w:p w14:paraId="550974CF" w14:textId="77777777" w:rsidR="00D44846" w:rsidRPr="008C75A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090" w:type="dxa"/>
            <w:gridSpan w:val="4"/>
            <w:shd w:val="clear" w:color="auto" w:fill="auto"/>
          </w:tcPr>
          <w:p w14:paraId="66D3018A" w14:textId="77777777" w:rsidR="00D44846" w:rsidRPr="008C75A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47EEEAE4" w14:textId="77777777" w:rsidR="00D44846" w:rsidRPr="008C75A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14:paraId="33B60BEA" w14:textId="77777777" w:rsidR="00D44846" w:rsidRPr="008C75A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69F3D6BD" w14:textId="1DF84919" w:rsidR="00D44846" w:rsidRPr="00971934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44846" w:rsidRPr="00074659" w14:paraId="009F56F7" w14:textId="77777777" w:rsidTr="00247D45">
        <w:trPr>
          <w:gridAfter w:val="1"/>
          <w:wAfter w:w="8" w:type="dxa"/>
          <w:trHeight w:val="142"/>
          <w:jc w:val="center"/>
        </w:trPr>
        <w:tc>
          <w:tcPr>
            <w:tcW w:w="1592" w:type="dxa"/>
            <w:vMerge/>
            <w:shd w:val="clear" w:color="auto" w:fill="FFFFFF"/>
          </w:tcPr>
          <w:p w14:paraId="77BFE321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2" w:type="dxa"/>
            <w:gridSpan w:val="5"/>
            <w:shd w:val="clear" w:color="auto" w:fill="FFFFFF"/>
          </w:tcPr>
          <w:p w14:paraId="17797123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15" w:type="dxa"/>
            <w:shd w:val="clear" w:color="auto" w:fill="FFFFFF"/>
          </w:tcPr>
          <w:p w14:paraId="28F600D7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87" w:type="dxa"/>
            <w:gridSpan w:val="3"/>
            <w:shd w:val="clear" w:color="auto" w:fill="FFFFFF"/>
          </w:tcPr>
          <w:p w14:paraId="008B09A2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0FD30F0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3C4B6405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3348EA5C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FFFFFF"/>
          </w:tcPr>
          <w:p w14:paraId="0F539D66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99" w:type="dxa"/>
            <w:gridSpan w:val="2"/>
            <w:shd w:val="clear" w:color="auto" w:fill="FFFFFF"/>
          </w:tcPr>
          <w:p w14:paraId="15C9FA98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D44846" w:rsidRPr="00074659" w14:paraId="3D5F5DD8" w14:textId="77777777" w:rsidTr="00247D45">
        <w:trPr>
          <w:gridAfter w:val="1"/>
          <w:wAfter w:w="8" w:type="dxa"/>
          <w:trHeight w:val="142"/>
          <w:jc w:val="center"/>
        </w:trPr>
        <w:tc>
          <w:tcPr>
            <w:tcW w:w="1592" w:type="dxa"/>
            <w:vMerge/>
            <w:shd w:val="clear" w:color="auto" w:fill="FFFFFF"/>
          </w:tcPr>
          <w:p w14:paraId="7BD7E89D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2" w:type="dxa"/>
            <w:gridSpan w:val="5"/>
            <w:shd w:val="clear" w:color="auto" w:fill="FFFFFF"/>
          </w:tcPr>
          <w:p w14:paraId="2503D9A8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15" w:type="dxa"/>
            <w:shd w:val="clear" w:color="auto" w:fill="FFFFFF"/>
          </w:tcPr>
          <w:p w14:paraId="1FC1C266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87" w:type="dxa"/>
            <w:gridSpan w:val="3"/>
            <w:shd w:val="clear" w:color="auto" w:fill="FFFFFF"/>
          </w:tcPr>
          <w:p w14:paraId="674B77A7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3A2F23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342F3A04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12D17F4D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FFFFFF"/>
          </w:tcPr>
          <w:p w14:paraId="0A0D6A45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99" w:type="dxa"/>
            <w:gridSpan w:val="2"/>
            <w:shd w:val="clear" w:color="auto" w:fill="FFFFFF"/>
          </w:tcPr>
          <w:p w14:paraId="3FB27C82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D44846" w:rsidRPr="00074659" w14:paraId="33A6944F" w14:textId="77777777" w:rsidTr="00247D45">
        <w:trPr>
          <w:gridAfter w:val="1"/>
          <w:wAfter w:w="8" w:type="dxa"/>
          <w:trHeight w:val="142"/>
          <w:jc w:val="center"/>
        </w:trPr>
        <w:tc>
          <w:tcPr>
            <w:tcW w:w="1592" w:type="dxa"/>
            <w:vMerge/>
            <w:shd w:val="clear" w:color="auto" w:fill="FFFFFF"/>
          </w:tcPr>
          <w:p w14:paraId="0EA00069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2" w:type="dxa"/>
            <w:gridSpan w:val="5"/>
            <w:shd w:val="clear" w:color="auto" w:fill="FFFFFF"/>
          </w:tcPr>
          <w:p w14:paraId="2B3C86ED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15" w:type="dxa"/>
            <w:shd w:val="clear" w:color="auto" w:fill="FFFFFF"/>
          </w:tcPr>
          <w:p w14:paraId="4C10F036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87" w:type="dxa"/>
            <w:gridSpan w:val="3"/>
            <w:shd w:val="clear" w:color="auto" w:fill="FFFFFF"/>
          </w:tcPr>
          <w:p w14:paraId="40DC37B6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B5210C4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765A0C43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7795571B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FFFFFF"/>
          </w:tcPr>
          <w:p w14:paraId="373B8EE3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99" w:type="dxa"/>
            <w:gridSpan w:val="2"/>
            <w:shd w:val="clear" w:color="auto" w:fill="FFFFFF"/>
          </w:tcPr>
          <w:p w14:paraId="02E5597C" w14:textId="77777777" w:rsidR="00D44846" w:rsidRPr="00B37C80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D44846" w:rsidRPr="00074659" w14:paraId="67A55524" w14:textId="77777777" w:rsidTr="00247D45">
        <w:trPr>
          <w:gridAfter w:val="1"/>
          <w:wAfter w:w="8" w:type="dxa"/>
          <w:trHeight w:val="142"/>
          <w:jc w:val="center"/>
        </w:trPr>
        <w:tc>
          <w:tcPr>
            <w:tcW w:w="1592" w:type="dxa"/>
            <w:vMerge w:val="restart"/>
            <w:shd w:val="clear" w:color="auto" w:fill="FFFFFF"/>
          </w:tcPr>
          <w:p w14:paraId="18945F44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402" w:type="dxa"/>
            <w:gridSpan w:val="5"/>
            <w:shd w:val="clear" w:color="auto" w:fill="FFFFFF"/>
          </w:tcPr>
          <w:p w14:paraId="0F175F8A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152" w:type="dxa"/>
            <w:gridSpan w:val="20"/>
            <w:shd w:val="clear" w:color="auto" w:fill="FFFFFF"/>
          </w:tcPr>
          <w:p w14:paraId="0EB8EE94" w14:textId="77777777" w:rsidR="00D44846" w:rsidRPr="00215FE7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rozporządzenia nie ma bezpośredniego wpływu na </w:t>
            </w:r>
            <w:r w:rsidRPr="00215FE7">
              <w:rPr>
                <w:rFonts w:ascii="Times New Roman" w:hAnsi="Times New Roman"/>
                <w:color w:val="000000"/>
              </w:rPr>
              <w:t xml:space="preserve">funkcjonowanie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215FE7">
              <w:rPr>
                <w:rFonts w:ascii="Times New Roman" w:hAnsi="Times New Roman"/>
                <w:color w:val="000000"/>
              </w:rPr>
              <w:t xml:space="preserve">i rozwój </w:t>
            </w:r>
            <w:r>
              <w:rPr>
                <w:rFonts w:ascii="Times New Roman" w:hAnsi="Times New Roman"/>
                <w:color w:val="000000"/>
              </w:rPr>
              <w:t>dużych przedsiębiorstw</w:t>
            </w:r>
            <w:r w:rsidRPr="00215FE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44846" w:rsidRPr="00074659" w14:paraId="6192EBFB" w14:textId="77777777" w:rsidTr="00247D45">
        <w:trPr>
          <w:gridAfter w:val="1"/>
          <w:wAfter w:w="8" w:type="dxa"/>
          <w:trHeight w:val="142"/>
          <w:jc w:val="center"/>
        </w:trPr>
        <w:tc>
          <w:tcPr>
            <w:tcW w:w="1592" w:type="dxa"/>
            <w:vMerge/>
            <w:shd w:val="clear" w:color="auto" w:fill="FFFFFF"/>
          </w:tcPr>
          <w:p w14:paraId="4CC03AD1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2" w:type="dxa"/>
            <w:gridSpan w:val="5"/>
            <w:shd w:val="clear" w:color="auto" w:fill="FFFFFF"/>
          </w:tcPr>
          <w:p w14:paraId="059D3D9E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152" w:type="dxa"/>
            <w:gridSpan w:val="20"/>
            <w:shd w:val="clear" w:color="auto" w:fill="FFFFFF"/>
          </w:tcPr>
          <w:p w14:paraId="7C519A21" w14:textId="77777777" w:rsidR="00D44846" w:rsidRPr="00215FE7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rozporządzenia nie ma </w:t>
            </w:r>
            <w:r w:rsidRPr="00215FE7">
              <w:rPr>
                <w:rFonts w:ascii="Times New Roman" w:hAnsi="Times New Roman"/>
                <w:color w:val="000000"/>
              </w:rPr>
              <w:t xml:space="preserve">bezpośredniego wpływu na funkcjonowanie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215FE7">
              <w:rPr>
                <w:rFonts w:ascii="Times New Roman" w:hAnsi="Times New Roman"/>
                <w:color w:val="000000"/>
              </w:rPr>
              <w:t>i rozwój sektora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</w:rPr>
              <w:t>mikro-, małych i średnich przedsiębiorstw</w:t>
            </w:r>
            <w:r w:rsidRPr="00215FE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44846" w:rsidRPr="00074659" w14:paraId="4E542048" w14:textId="77777777" w:rsidTr="00247D45">
        <w:trPr>
          <w:gridAfter w:val="1"/>
          <w:wAfter w:w="8" w:type="dxa"/>
          <w:trHeight w:val="596"/>
          <w:jc w:val="center"/>
        </w:trPr>
        <w:tc>
          <w:tcPr>
            <w:tcW w:w="1592" w:type="dxa"/>
            <w:vMerge/>
            <w:shd w:val="clear" w:color="auto" w:fill="FFFFFF"/>
          </w:tcPr>
          <w:p w14:paraId="5C73F019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2" w:type="dxa"/>
            <w:gridSpan w:val="5"/>
            <w:shd w:val="clear" w:color="auto" w:fill="FFFFFF"/>
          </w:tcPr>
          <w:p w14:paraId="66CEC8D8" w14:textId="77777777" w:rsidR="00D44846" w:rsidRPr="00074659" w:rsidRDefault="00D44846" w:rsidP="00D4484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</w:rPr>
              <w:t>rodzina, obywatele oraz gospodarstwa domowe</w:t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152" w:type="dxa"/>
            <w:gridSpan w:val="20"/>
            <w:shd w:val="clear" w:color="auto" w:fill="FFFFFF"/>
          </w:tcPr>
          <w:p w14:paraId="25FBF78A" w14:textId="6CBB678C" w:rsidR="00D44846" w:rsidRPr="00215FE7" w:rsidRDefault="00D44846" w:rsidP="00D4484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FE7">
              <w:rPr>
                <w:rFonts w:ascii="Times New Roman" w:hAnsi="Times New Roman"/>
                <w:color w:val="000000"/>
              </w:rPr>
              <w:t xml:space="preserve">W związku z dalszym </w:t>
            </w:r>
            <w:r>
              <w:rPr>
                <w:rFonts w:ascii="Times New Roman" w:hAnsi="Times New Roman"/>
                <w:color w:val="000000"/>
              </w:rPr>
              <w:t>zwiększaniem</w:t>
            </w:r>
            <w:r w:rsidRPr="00215FE7">
              <w:rPr>
                <w:rFonts w:ascii="Times New Roman" w:hAnsi="Times New Roman"/>
                <w:color w:val="000000"/>
              </w:rPr>
              <w:t xml:space="preserve"> limit</w:t>
            </w:r>
            <w:r>
              <w:rPr>
                <w:rFonts w:ascii="Times New Roman" w:hAnsi="Times New Roman"/>
                <w:color w:val="000000"/>
              </w:rPr>
              <w:t>ów</w:t>
            </w:r>
            <w:r w:rsidRPr="00215FE7">
              <w:rPr>
                <w:rFonts w:ascii="Times New Roman" w:hAnsi="Times New Roman"/>
                <w:color w:val="000000"/>
              </w:rPr>
              <w:t xml:space="preserve"> przyjęć na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15FE7">
              <w:rPr>
                <w:rFonts w:ascii="Times New Roman" w:hAnsi="Times New Roman"/>
                <w:color w:val="000000"/>
              </w:rPr>
              <w:t xml:space="preserve"> bezpłatne dla obywatela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15FE7">
              <w:rPr>
                <w:rFonts w:ascii="Times New Roman" w:hAnsi="Times New Roman"/>
                <w:color w:val="000000"/>
              </w:rPr>
              <w:t xml:space="preserve"> studia stacjonarne prowadzone w języku polskim zakłada się pozytywny wpływ na wskazane grupy społeczne wyrażający się nie tylko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215FE7">
              <w:rPr>
                <w:rFonts w:ascii="Times New Roman" w:hAnsi="Times New Roman"/>
                <w:color w:val="000000"/>
              </w:rPr>
              <w:t>w tworzeniu szans na kształcenie, ale również na poprawę dostępu do świadczeń</w:t>
            </w:r>
            <w:r>
              <w:rPr>
                <w:rFonts w:ascii="Times New Roman" w:hAnsi="Times New Roman"/>
                <w:color w:val="000000"/>
              </w:rPr>
              <w:t xml:space="preserve"> opieki zdrowotnej</w:t>
            </w:r>
            <w:r w:rsidRPr="00215FE7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D44846" w:rsidRPr="00074659" w14:paraId="30CBA737" w14:textId="77777777" w:rsidTr="00247D45">
        <w:trPr>
          <w:gridAfter w:val="1"/>
          <w:wAfter w:w="8" w:type="dxa"/>
          <w:trHeight w:val="596"/>
          <w:jc w:val="center"/>
        </w:trPr>
        <w:tc>
          <w:tcPr>
            <w:tcW w:w="1592" w:type="dxa"/>
            <w:shd w:val="clear" w:color="auto" w:fill="FFFFFF"/>
          </w:tcPr>
          <w:p w14:paraId="0C673803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2" w:type="dxa"/>
            <w:gridSpan w:val="5"/>
            <w:shd w:val="clear" w:color="auto" w:fill="FFFFFF"/>
          </w:tcPr>
          <w:p w14:paraId="6EDC7400" w14:textId="77777777" w:rsidR="00D44846" w:rsidRPr="00074659" w:rsidRDefault="00D44846" w:rsidP="00D4484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osoby starsze </w:t>
            </w:r>
            <w:r>
              <w:rPr>
                <w:rFonts w:ascii="Times New Roman" w:hAnsi="Times New Roman"/>
              </w:rPr>
              <w:br/>
              <w:t>i niepełnosprawne</w:t>
            </w:r>
          </w:p>
        </w:tc>
        <w:tc>
          <w:tcPr>
            <w:tcW w:w="7152" w:type="dxa"/>
            <w:gridSpan w:val="20"/>
            <w:shd w:val="clear" w:color="auto" w:fill="FFFFFF"/>
          </w:tcPr>
          <w:p w14:paraId="1A5B0496" w14:textId="5304D698" w:rsidR="00D44846" w:rsidRPr="00215FE7" w:rsidRDefault="00D44846" w:rsidP="00D4484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FE7">
              <w:rPr>
                <w:rFonts w:ascii="Times New Roman" w:hAnsi="Times New Roman"/>
                <w:color w:val="000000"/>
              </w:rPr>
              <w:t xml:space="preserve">W związku z dalszym </w:t>
            </w:r>
            <w:r>
              <w:rPr>
                <w:rFonts w:ascii="Times New Roman" w:hAnsi="Times New Roman"/>
                <w:color w:val="000000"/>
              </w:rPr>
              <w:t>zwiększaniem</w:t>
            </w:r>
            <w:r w:rsidRPr="00215FE7">
              <w:rPr>
                <w:rFonts w:ascii="Times New Roman" w:hAnsi="Times New Roman"/>
                <w:color w:val="000000"/>
              </w:rPr>
              <w:t xml:space="preserve"> limitów przyjęć na studia, w tym bezpłatn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215FE7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na</w:t>
            </w:r>
            <w:r w:rsidRPr="00215FE7">
              <w:rPr>
                <w:rFonts w:ascii="Times New Roman" w:hAnsi="Times New Roman"/>
                <w:color w:val="000000"/>
              </w:rPr>
              <w:t xml:space="preserve"> kierunku lekarskim spodziewane jest zwiększenie liczby lekarzy pracujących w </w:t>
            </w:r>
            <w:r>
              <w:rPr>
                <w:rFonts w:ascii="Times New Roman" w:hAnsi="Times New Roman"/>
                <w:color w:val="000000"/>
              </w:rPr>
              <w:t xml:space="preserve">Rzeczypospolitej </w:t>
            </w:r>
            <w:r w:rsidRPr="00215FE7">
              <w:rPr>
                <w:rFonts w:ascii="Times New Roman" w:hAnsi="Times New Roman"/>
                <w:color w:val="000000"/>
              </w:rPr>
              <w:t>Pols</w:t>
            </w:r>
            <w:r>
              <w:rPr>
                <w:rFonts w:ascii="Times New Roman" w:hAnsi="Times New Roman"/>
                <w:color w:val="000000"/>
              </w:rPr>
              <w:t>kiej</w:t>
            </w:r>
            <w:r w:rsidRPr="00215FE7">
              <w:rPr>
                <w:rFonts w:ascii="Times New Roman" w:hAnsi="Times New Roman"/>
                <w:color w:val="000000"/>
              </w:rPr>
              <w:t xml:space="preserve">, a co za tym idzie poprawa dostępu do świadczeń </w:t>
            </w:r>
            <w:r>
              <w:rPr>
                <w:rFonts w:ascii="Times New Roman" w:hAnsi="Times New Roman"/>
                <w:color w:val="000000"/>
              </w:rPr>
              <w:t>opieki zdrowotnej</w:t>
            </w:r>
            <w:r w:rsidRPr="00215FE7">
              <w:rPr>
                <w:rFonts w:ascii="Times New Roman" w:hAnsi="Times New Roman"/>
                <w:color w:val="000000"/>
              </w:rPr>
              <w:t xml:space="preserve">, szczególnie istotna dla </w:t>
            </w:r>
            <w:r w:rsidR="000B05A4">
              <w:rPr>
                <w:rFonts w:ascii="Times New Roman" w:hAnsi="Times New Roman"/>
                <w:color w:val="000000"/>
              </w:rPr>
              <w:t>osób starszych i niepełnosprawnych.</w:t>
            </w:r>
          </w:p>
        </w:tc>
      </w:tr>
      <w:tr w:rsidR="00D44846" w:rsidRPr="00074659" w14:paraId="66F713A3" w14:textId="77777777" w:rsidTr="00247D45">
        <w:trPr>
          <w:trHeight w:val="493"/>
          <w:jc w:val="center"/>
        </w:trPr>
        <w:tc>
          <w:tcPr>
            <w:tcW w:w="1592" w:type="dxa"/>
            <w:shd w:val="clear" w:color="auto" w:fill="FFFFFF"/>
          </w:tcPr>
          <w:p w14:paraId="0FDAAFB7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9562" w:type="dxa"/>
            <w:gridSpan w:val="26"/>
            <w:shd w:val="clear" w:color="auto" w:fill="FFFFFF"/>
          </w:tcPr>
          <w:p w14:paraId="5393C4F0" w14:textId="3E2E7856" w:rsidR="00D44846" w:rsidRPr="00AD72F5" w:rsidRDefault="00D44846" w:rsidP="00D4484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Zakłada się, że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D0A7B">
              <w:rPr>
                <w:rFonts w:ascii="Times New Roman" w:hAnsi="Times New Roman"/>
                <w:color w:val="000000"/>
              </w:rPr>
              <w:t>modyfikacja</w:t>
            </w:r>
            <w:r w:rsidRPr="008634AF">
              <w:rPr>
                <w:rFonts w:ascii="Times New Roman" w:hAnsi="Times New Roman"/>
                <w:color w:val="000000"/>
              </w:rPr>
              <w:t xml:space="preserve"> limitu</w:t>
            </w:r>
            <w:r w:rsidRPr="000F543F">
              <w:rPr>
                <w:rFonts w:ascii="Times New Roman" w:hAnsi="Times New Roman"/>
                <w:color w:val="000000"/>
              </w:rPr>
              <w:t xml:space="preserve"> </w:t>
            </w:r>
            <w:r w:rsidRPr="00DD0A7B">
              <w:rPr>
                <w:rFonts w:ascii="Times New Roman" w:hAnsi="Times New Roman"/>
                <w:color w:val="000000"/>
              </w:rPr>
              <w:t>przyjęć</w:t>
            </w:r>
            <w:r>
              <w:rPr>
                <w:rFonts w:ascii="Times New Roman" w:hAnsi="Times New Roman"/>
                <w:color w:val="000000"/>
              </w:rPr>
              <w:t xml:space="preserve"> na studia na kierunkach</w:t>
            </w:r>
            <w:r w:rsidRPr="00074659">
              <w:rPr>
                <w:rFonts w:ascii="Times New Roman" w:hAnsi="Times New Roman"/>
                <w:color w:val="000000"/>
              </w:rPr>
              <w:t xml:space="preserve"> lekarskim </w:t>
            </w:r>
            <w:r>
              <w:rPr>
                <w:rFonts w:ascii="Times New Roman" w:hAnsi="Times New Roman"/>
                <w:color w:val="000000"/>
              </w:rPr>
              <w:t xml:space="preserve">i lekarsko-dentystycznym </w:t>
            </w:r>
            <w:r w:rsidRPr="00074659">
              <w:rPr>
                <w:rFonts w:ascii="Times New Roman" w:hAnsi="Times New Roman"/>
                <w:color w:val="000000"/>
              </w:rPr>
              <w:t xml:space="preserve">zwiększy </w:t>
            </w:r>
            <w:r>
              <w:rPr>
                <w:rFonts w:ascii="Times New Roman" w:hAnsi="Times New Roman"/>
                <w:color w:val="000000"/>
              </w:rPr>
              <w:t>liczbę absolwentów studiów na ww. kierunkach</w:t>
            </w:r>
            <w:r w:rsidRPr="00074659">
              <w:rPr>
                <w:rFonts w:ascii="Times New Roman" w:hAnsi="Times New Roman"/>
                <w:color w:val="000000"/>
              </w:rPr>
              <w:t xml:space="preserve">, co z kolei </w:t>
            </w:r>
            <w:r>
              <w:rPr>
                <w:rFonts w:ascii="Times New Roman" w:hAnsi="Times New Roman"/>
                <w:color w:val="000000"/>
              </w:rPr>
              <w:t xml:space="preserve">może </w:t>
            </w:r>
            <w:r w:rsidRPr="00074659">
              <w:rPr>
                <w:rFonts w:ascii="Times New Roman" w:hAnsi="Times New Roman"/>
                <w:color w:val="000000"/>
              </w:rPr>
              <w:t>przyczyni</w:t>
            </w:r>
            <w:r>
              <w:rPr>
                <w:rFonts w:ascii="Times New Roman" w:hAnsi="Times New Roman"/>
                <w:color w:val="000000"/>
              </w:rPr>
              <w:t>ć</w:t>
            </w:r>
            <w:r w:rsidRPr="00074659">
              <w:rPr>
                <w:rFonts w:ascii="Times New Roman" w:hAnsi="Times New Roman"/>
                <w:color w:val="000000"/>
              </w:rPr>
              <w:t xml:space="preserve"> się do wzrostu </w:t>
            </w:r>
            <w:r>
              <w:rPr>
                <w:rFonts w:ascii="Times New Roman" w:hAnsi="Times New Roman"/>
                <w:color w:val="000000"/>
              </w:rPr>
              <w:t>liczby lekarzy w przyszłych latach.</w:t>
            </w:r>
          </w:p>
        </w:tc>
      </w:tr>
      <w:tr w:rsidR="00D44846" w:rsidRPr="00074659" w14:paraId="50D3E447" w14:textId="77777777" w:rsidTr="00247D45">
        <w:trPr>
          <w:trHeight w:val="1243"/>
          <w:jc w:val="center"/>
        </w:trPr>
        <w:tc>
          <w:tcPr>
            <w:tcW w:w="2237" w:type="dxa"/>
            <w:gridSpan w:val="2"/>
            <w:shd w:val="clear" w:color="auto" w:fill="FFFFFF"/>
          </w:tcPr>
          <w:p w14:paraId="2FB935FF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917" w:type="dxa"/>
            <w:gridSpan w:val="25"/>
            <w:shd w:val="clear" w:color="auto" w:fill="auto"/>
          </w:tcPr>
          <w:p w14:paraId="6F59530C" w14:textId="7BA95C6F" w:rsidR="00D44846" w:rsidRPr="00074659" w:rsidRDefault="00D44846" w:rsidP="00D4484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Limit</w:t>
            </w:r>
            <w:r w:rsidRPr="00E96BBD">
              <w:rPr>
                <w:rFonts w:ascii="Times New Roman" w:hAnsi="Times New Roman"/>
                <w:color w:val="000000"/>
              </w:rPr>
              <w:t xml:space="preserve"> przyjęć na studia prowadzone </w:t>
            </w:r>
            <w:r>
              <w:rPr>
                <w:rFonts w:ascii="Times New Roman" w:hAnsi="Times New Roman"/>
                <w:color w:val="000000"/>
              </w:rPr>
              <w:t>w formie</w:t>
            </w:r>
            <w:r w:rsidRPr="00E96BB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studiów </w:t>
            </w:r>
            <w:r w:rsidRPr="00E96BBD">
              <w:rPr>
                <w:rFonts w:ascii="Times New Roman" w:hAnsi="Times New Roman"/>
                <w:color w:val="000000"/>
              </w:rPr>
              <w:t>niestacjonarny</w:t>
            </w:r>
            <w:r>
              <w:rPr>
                <w:rFonts w:ascii="Times New Roman" w:hAnsi="Times New Roman"/>
                <w:color w:val="000000"/>
              </w:rPr>
              <w:t>ch</w:t>
            </w:r>
            <w:r w:rsidRPr="00E96BBD">
              <w:rPr>
                <w:rFonts w:ascii="Times New Roman" w:hAnsi="Times New Roman"/>
                <w:color w:val="000000"/>
              </w:rPr>
              <w:t xml:space="preserve"> w języku polskim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96238">
              <w:rPr>
                <w:rFonts w:ascii="Times New Roman" w:hAnsi="Times New Roman"/>
                <w:color w:val="000000"/>
              </w:rPr>
              <w:t xml:space="preserve">zmniejszył </w:t>
            </w:r>
            <w:r>
              <w:rPr>
                <w:rFonts w:ascii="Times New Roman" w:hAnsi="Times New Roman"/>
                <w:color w:val="000000"/>
              </w:rPr>
              <w:t xml:space="preserve">się w roku akademickim </w:t>
            </w:r>
            <w:r w:rsidR="00F96238">
              <w:rPr>
                <w:rFonts w:ascii="Times New Roman" w:hAnsi="Times New Roman"/>
                <w:color w:val="000000"/>
              </w:rPr>
              <w:t>2023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F96238">
              <w:rPr>
                <w:rFonts w:ascii="Times New Roman" w:hAnsi="Times New Roman"/>
                <w:color w:val="000000"/>
              </w:rPr>
              <w:t xml:space="preserve">2024 </w:t>
            </w:r>
            <w:r>
              <w:rPr>
                <w:rFonts w:ascii="Times New Roman" w:hAnsi="Times New Roman"/>
                <w:color w:val="000000"/>
              </w:rPr>
              <w:t xml:space="preserve">o </w:t>
            </w:r>
            <w:r w:rsidR="00BA58AF">
              <w:rPr>
                <w:rFonts w:ascii="Times New Roman" w:hAnsi="Times New Roman"/>
                <w:color w:val="000000"/>
              </w:rPr>
              <w:t>27</w:t>
            </w:r>
            <w:r w:rsidR="00BA58AF" w:rsidRPr="00C83F9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miejsc łącznie we wszystkich uczelniach w stosunku do roku akademickiego </w:t>
            </w:r>
            <w:r w:rsidR="00F96238">
              <w:rPr>
                <w:rFonts w:ascii="Times New Roman" w:hAnsi="Times New Roman"/>
                <w:color w:val="000000"/>
              </w:rPr>
              <w:t>2022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F96238">
              <w:rPr>
                <w:rFonts w:ascii="Times New Roman" w:hAnsi="Times New Roman"/>
                <w:color w:val="000000"/>
              </w:rPr>
              <w:t>2023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F96238">
              <w:rPr>
                <w:rFonts w:ascii="Times New Roman" w:hAnsi="Times New Roman"/>
                <w:color w:val="000000"/>
              </w:rPr>
              <w:t>L</w:t>
            </w:r>
            <w:r w:rsidRPr="003A23EB">
              <w:rPr>
                <w:rFonts w:ascii="Times New Roman" w:hAnsi="Times New Roman"/>
                <w:color w:val="000000"/>
              </w:rPr>
              <w:t xml:space="preserve">imit przyjęć na </w:t>
            </w:r>
            <w:r>
              <w:rPr>
                <w:rFonts w:ascii="Times New Roman" w:hAnsi="Times New Roman"/>
                <w:color w:val="000000"/>
              </w:rPr>
              <w:t xml:space="preserve">studia </w:t>
            </w:r>
            <w:r w:rsidRPr="00E96BBD">
              <w:rPr>
                <w:rFonts w:ascii="Times New Roman" w:hAnsi="Times New Roman"/>
                <w:color w:val="000000"/>
              </w:rPr>
              <w:t>prowadzone w języku innym niż język polski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96238">
              <w:rPr>
                <w:rFonts w:ascii="Times New Roman" w:hAnsi="Times New Roman"/>
                <w:color w:val="000000"/>
              </w:rPr>
              <w:t>podobnie jak limit na studia w języku polskim uległ</w:t>
            </w:r>
            <w:r w:rsidR="00F07CE3">
              <w:rPr>
                <w:rFonts w:ascii="Times New Roman" w:hAnsi="Times New Roman"/>
                <w:color w:val="000000"/>
              </w:rPr>
              <w:t xml:space="preserve"> </w:t>
            </w:r>
            <w:r w:rsidR="00F96238">
              <w:rPr>
                <w:rFonts w:ascii="Times New Roman" w:hAnsi="Times New Roman"/>
                <w:color w:val="000000"/>
              </w:rPr>
              <w:t xml:space="preserve">zmniejszeniu </w:t>
            </w:r>
            <w:r w:rsidRPr="00505070">
              <w:rPr>
                <w:rFonts w:ascii="Times New Roman" w:hAnsi="Times New Roman"/>
                <w:color w:val="000000"/>
              </w:rPr>
              <w:t xml:space="preserve">w roku akademickim </w:t>
            </w:r>
            <w:r w:rsidR="00F96238" w:rsidRPr="00505070">
              <w:rPr>
                <w:rFonts w:ascii="Times New Roman" w:hAnsi="Times New Roman"/>
                <w:color w:val="000000"/>
              </w:rPr>
              <w:t>202</w:t>
            </w:r>
            <w:r w:rsidR="00F96238">
              <w:rPr>
                <w:rFonts w:ascii="Times New Roman" w:hAnsi="Times New Roman"/>
                <w:color w:val="000000"/>
              </w:rPr>
              <w:t>3</w:t>
            </w:r>
            <w:r w:rsidRPr="00505070">
              <w:rPr>
                <w:rFonts w:ascii="Times New Roman" w:hAnsi="Times New Roman"/>
                <w:color w:val="000000"/>
              </w:rPr>
              <w:t>/</w:t>
            </w:r>
            <w:r w:rsidR="00F96238" w:rsidRPr="00505070">
              <w:rPr>
                <w:rFonts w:ascii="Times New Roman" w:hAnsi="Times New Roman"/>
                <w:color w:val="000000"/>
              </w:rPr>
              <w:t>202</w:t>
            </w:r>
            <w:r w:rsidR="00F96238">
              <w:rPr>
                <w:rFonts w:ascii="Times New Roman" w:hAnsi="Times New Roman"/>
                <w:color w:val="000000"/>
              </w:rPr>
              <w:t>4</w:t>
            </w:r>
            <w:r w:rsidR="00F96238" w:rsidRPr="00505070">
              <w:rPr>
                <w:rFonts w:ascii="Times New Roman" w:hAnsi="Times New Roman"/>
                <w:color w:val="000000"/>
              </w:rPr>
              <w:t xml:space="preserve"> </w:t>
            </w:r>
            <w:r w:rsidRPr="005C12C1">
              <w:rPr>
                <w:rFonts w:ascii="Times New Roman" w:hAnsi="Times New Roman"/>
                <w:color w:val="000000"/>
              </w:rPr>
              <w:t>łącznie o</w:t>
            </w:r>
            <w:r w:rsidRPr="00C83F99">
              <w:rPr>
                <w:rFonts w:ascii="Times New Roman" w:hAnsi="Times New Roman"/>
                <w:color w:val="000000"/>
              </w:rPr>
              <w:t xml:space="preserve"> </w:t>
            </w:r>
            <w:r w:rsidR="00F96238">
              <w:rPr>
                <w:rFonts w:ascii="Times New Roman" w:hAnsi="Times New Roman"/>
                <w:color w:val="000000"/>
              </w:rPr>
              <w:t>44</w:t>
            </w:r>
            <w:r w:rsidR="00F96238" w:rsidRPr="00115E9E">
              <w:rPr>
                <w:rFonts w:ascii="Times New Roman" w:hAnsi="Times New Roman"/>
                <w:color w:val="000000"/>
              </w:rPr>
              <w:t xml:space="preserve"> </w:t>
            </w:r>
            <w:r w:rsidRPr="00B80555">
              <w:rPr>
                <w:rFonts w:ascii="Times New Roman" w:hAnsi="Times New Roman"/>
                <w:color w:val="000000"/>
              </w:rPr>
              <w:t>miejsc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E02E0">
              <w:rPr>
                <w:rFonts w:ascii="Times New Roman" w:hAnsi="Times New Roman"/>
                <w:color w:val="000000"/>
              </w:rPr>
              <w:t xml:space="preserve">w stosunku do roku akademickiego </w:t>
            </w:r>
            <w:r w:rsidR="00F96238" w:rsidRPr="008E02E0">
              <w:rPr>
                <w:rFonts w:ascii="Times New Roman" w:hAnsi="Times New Roman"/>
                <w:color w:val="000000"/>
              </w:rPr>
              <w:t>202</w:t>
            </w:r>
            <w:r w:rsidR="00F96238">
              <w:rPr>
                <w:rFonts w:ascii="Times New Roman" w:hAnsi="Times New Roman"/>
                <w:color w:val="000000"/>
              </w:rPr>
              <w:t>2</w:t>
            </w:r>
            <w:r w:rsidRPr="008E02E0">
              <w:rPr>
                <w:rFonts w:ascii="Times New Roman" w:hAnsi="Times New Roman"/>
                <w:color w:val="000000"/>
              </w:rPr>
              <w:t>/</w:t>
            </w:r>
            <w:r w:rsidR="00F96238" w:rsidRPr="008E02E0">
              <w:rPr>
                <w:rFonts w:ascii="Times New Roman" w:hAnsi="Times New Roman"/>
                <w:color w:val="000000"/>
              </w:rPr>
              <w:t>202</w:t>
            </w:r>
            <w:r w:rsidR="00F96238">
              <w:rPr>
                <w:rFonts w:ascii="Times New Roman" w:hAnsi="Times New Roman"/>
                <w:color w:val="000000"/>
              </w:rPr>
              <w:t>3</w:t>
            </w:r>
            <w:r w:rsidRPr="00B80555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W związku z powyższym nie przewiduje się z ww. tytułów wzrostu przychodów dla uczelni. </w:t>
            </w:r>
            <w:r w:rsidRPr="00E96BBD">
              <w:rPr>
                <w:rFonts w:ascii="Times New Roman" w:hAnsi="Times New Roman"/>
                <w:color w:val="000000"/>
              </w:rPr>
              <w:t>Źródło danych – dane własne M</w:t>
            </w:r>
            <w:r>
              <w:rPr>
                <w:rFonts w:ascii="Times New Roman" w:hAnsi="Times New Roman"/>
                <w:color w:val="000000"/>
              </w:rPr>
              <w:t xml:space="preserve">inisterstwa </w:t>
            </w:r>
            <w:r w:rsidRPr="00E96BBD">
              <w:rPr>
                <w:rFonts w:ascii="Times New Roman" w:hAnsi="Times New Roman"/>
                <w:color w:val="000000"/>
              </w:rPr>
              <w:t>Z</w:t>
            </w:r>
            <w:r>
              <w:rPr>
                <w:rFonts w:ascii="Times New Roman" w:hAnsi="Times New Roman"/>
                <w:color w:val="000000"/>
              </w:rPr>
              <w:t>drowia</w:t>
            </w:r>
            <w:r w:rsidRPr="00E96BB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44846" w:rsidRPr="00074659" w14:paraId="6F66971C" w14:textId="77777777" w:rsidTr="00247D45">
        <w:trPr>
          <w:trHeight w:val="342"/>
          <w:jc w:val="center"/>
        </w:trPr>
        <w:tc>
          <w:tcPr>
            <w:tcW w:w="11154" w:type="dxa"/>
            <w:gridSpan w:val="27"/>
            <w:shd w:val="clear" w:color="auto" w:fill="99CCFF"/>
            <w:vAlign w:val="center"/>
          </w:tcPr>
          <w:p w14:paraId="6BE94770" w14:textId="77777777" w:rsidR="00D44846" w:rsidRPr="00074659" w:rsidRDefault="00D44846" w:rsidP="00D4484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74659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D44846" w:rsidRPr="00074659" w14:paraId="59838801" w14:textId="77777777" w:rsidTr="00247D45">
        <w:trPr>
          <w:trHeight w:val="151"/>
          <w:jc w:val="center"/>
        </w:trPr>
        <w:tc>
          <w:tcPr>
            <w:tcW w:w="11154" w:type="dxa"/>
            <w:gridSpan w:val="27"/>
            <w:shd w:val="clear" w:color="auto" w:fill="FFFFFF"/>
          </w:tcPr>
          <w:p w14:paraId="4DBFFE17" w14:textId="7D758C6E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325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25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pacing w:val="-2"/>
              </w:rPr>
            </w:r>
            <w:r w:rsidR="00000000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CA5325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44846" w:rsidRPr="00074659" w14:paraId="752F7A17" w14:textId="77777777" w:rsidTr="00247D45">
        <w:trPr>
          <w:trHeight w:val="946"/>
          <w:jc w:val="center"/>
        </w:trPr>
        <w:tc>
          <w:tcPr>
            <w:tcW w:w="4917" w:type="dxa"/>
            <w:gridSpan w:val="8"/>
            <w:shd w:val="clear" w:color="auto" w:fill="FFFFFF"/>
          </w:tcPr>
          <w:p w14:paraId="26056B6D" w14:textId="77777777" w:rsidR="00D44846" w:rsidRPr="00074659" w:rsidRDefault="00D44846" w:rsidP="00D4484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074659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237" w:type="dxa"/>
            <w:gridSpan w:val="19"/>
            <w:shd w:val="clear" w:color="auto" w:fill="FFFFFF"/>
          </w:tcPr>
          <w:p w14:paraId="38F6FF01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6A18AFF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E5E5D56" w14:textId="77777777" w:rsidR="00D44846" w:rsidRPr="00074659" w:rsidRDefault="00D44846" w:rsidP="00D44846">
            <w:pPr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44846" w:rsidRPr="00074659" w14:paraId="52F73393" w14:textId="77777777" w:rsidTr="00247D45">
        <w:trPr>
          <w:trHeight w:val="1245"/>
          <w:jc w:val="center"/>
        </w:trPr>
        <w:tc>
          <w:tcPr>
            <w:tcW w:w="4917" w:type="dxa"/>
            <w:gridSpan w:val="8"/>
            <w:shd w:val="clear" w:color="auto" w:fill="FFFFFF"/>
          </w:tcPr>
          <w:p w14:paraId="396BB9FE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4CB2601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07DE14F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683971BB" w14:textId="77777777" w:rsidR="00D44846" w:rsidRPr="00074659" w:rsidRDefault="00D44846" w:rsidP="00D44846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74659">
              <w:rPr>
                <w:rFonts w:ascii="Times New Roman" w:hAnsi="Times New Roman"/>
                <w:color w:val="000000"/>
              </w:rPr>
            </w:r>
            <w:r w:rsidRPr="00074659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/>
                <w:noProof/>
                <w:color w:val="000000"/>
              </w:rPr>
              <w:t> </w:t>
            </w:r>
            <w:r w:rsidRPr="00074659">
              <w:rPr>
                <w:rFonts w:ascii="Times New Roman"/>
                <w:noProof/>
                <w:color w:val="000000"/>
              </w:rPr>
              <w:t> </w:t>
            </w:r>
            <w:r w:rsidRPr="00074659">
              <w:rPr>
                <w:rFonts w:ascii="Times New Roman"/>
                <w:noProof/>
                <w:color w:val="000000"/>
              </w:rPr>
              <w:t> </w:t>
            </w:r>
            <w:r w:rsidRPr="00074659">
              <w:rPr>
                <w:rFonts w:ascii="Times New Roman"/>
                <w:noProof/>
                <w:color w:val="000000"/>
              </w:rPr>
              <w:t> </w:t>
            </w:r>
            <w:r w:rsidRPr="00074659">
              <w:rPr>
                <w:rFonts w:ascii="Times New Roman"/>
                <w:noProof/>
                <w:color w:val="000000"/>
              </w:rPr>
              <w:t> </w:t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237" w:type="dxa"/>
            <w:gridSpan w:val="19"/>
            <w:shd w:val="clear" w:color="auto" w:fill="FFFFFF"/>
          </w:tcPr>
          <w:p w14:paraId="7ECD118F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C279A1B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64FBABA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2BBB3EE6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74659">
              <w:rPr>
                <w:rFonts w:ascii="Times New Roman" w:hAnsi="Times New Roman"/>
                <w:color w:val="000000"/>
              </w:rPr>
            </w:r>
            <w:r w:rsidRPr="00074659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/>
                <w:noProof/>
                <w:color w:val="000000"/>
              </w:rPr>
              <w:t> </w:t>
            </w:r>
            <w:r w:rsidRPr="00074659">
              <w:rPr>
                <w:rFonts w:ascii="Times New Roman"/>
                <w:noProof/>
                <w:color w:val="000000"/>
              </w:rPr>
              <w:t> </w:t>
            </w:r>
            <w:r w:rsidRPr="00074659">
              <w:rPr>
                <w:rFonts w:ascii="Times New Roman"/>
                <w:noProof/>
                <w:color w:val="000000"/>
              </w:rPr>
              <w:t> </w:t>
            </w:r>
            <w:r w:rsidRPr="00074659">
              <w:rPr>
                <w:rFonts w:ascii="Times New Roman"/>
                <w:noProof/>
                <w:color w:val="000000"/>
              </w:rPr>
              <w:t> </w:t>
            </w:r>
            <w:r w:rsidRPr="00074659">
              <w:rPr>
                <w:rFonts w:ascii="Times New Roman"/>
                <w:noProof/>
                <w:color w:val="000000"/>
              </w:rPr>
              <w:t> </w:t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968C26A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44846" w:rsidRPr="00074659" w14:paraId="005CE13A" w14:textId="77777777" w:rsidTr="00247D45">
        <w:trPr>
          <w:trHeight w:val="870"/>
          <w:jc w:val="center"/>
        </w:trPr>
        <w:tc>
          <w:tcPr>
            <w:tcW w:w="4917" w:type="dxa"/>
            <w:gridSpan w:val="8"/>
            <w:shd w:val="clear" w:color="auto" w:fill="FFFFFF"/>
          </w:tcPr>
          <w:p w14:paraId="70826AC9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237" w:type="dxa"/>
            <w:gridSpan w:val="19"/>
            <w:shd w:val="clear" w:color="auto" w:fill="FFFFFF"/>
          </w:tcPr>
          <w:p w14:paraId="56479FCC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4CA3BD7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D665BB5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AD8F5DC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44846" w:rsidRPr="00074659" w14:paraId="57E2D3E1" w14:textId="77777777" w:rsidTr="00247D45">
        <w:trPr>
          <w:trHeight w:val="630"/>
          <w:jc w:val="center"/>
        </w:trPr>
        <w:tc>
          <w:tcPr>
            <w:tcW w:w="11154" w:type="dxa"/>
            <w:gridSpan w:val="27"/>
            <w:shd w:val="clear" w:color="auto" w:fill="FFFFFF"/>
          </w:tcPr>
          <w:p w14:paraId="06391B8E" w14:textId="77777777" w:rsidR="00D44846" w:rsidRPr="00074659" w:rsidRDefault="00D44846" w:rsidP="00D44846">
            <w:pPr>
              <w:jc w:val="both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Komentarz:</w:t>
            </w:r>
            <w:r>
              <w:rPr>
                <w:rFonts w:ascii="Times New Roman" w:hAnsi="Times New Roman"/>
                <w:color w:val="000000"/>
              </w:rPr>
              <w:t xml:space="preserve"> -</w:t>
            </w:r>
          </w:p>
        </w:tc>
      </w:tr>
      <w:tr w:rsidR="00D44846" w:rsidRPr="00074659" w14:paraId="48329057" w14:textId="77777777" w:rsidTr="00247D45">
        <w:trPr>
          <w:trHeight w:val="142"/>
          <w:jc w:val="center"/>
        </w:trPr>
        <w:tc>
          <w:tcPr>
            <w:tcW w:w="11154" w:type="dxa"/>
            <w:gridSpan w:val="27"/>
            <w:shd w:val="clear" w:color="auto" w:fill="99CCFF"/>
          </w:tcPr>
          <w:p w14:paraId="33E736EA" w14:textId="77777777" w:rsidR="00D44846" w:rsidRPr="00074659" w:rsidRDefault="00D44846" w:rsidP="00D4484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74659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44846" w:rsidRPr="00074659" w14:paraId="3EF29152" w14:textId="77777777" w:rsidTr="00247D45">
        <w:trPr>
          <w:trHeight w:val="50"/>
          <w:jc w:val="center"/>
        </w:trPr>
        <w:tc>
          <w:tcPr>
            <w:tcW w:w="11154" w:type="dxa"/>
            <w:gridSpan w:val="27"/>
            <w:shd w:val="clear" w:color="auto" w:fill="auto"/>
          </w:tcPr>
          <w:p w14:paraId="56D83192" w14:textId="1AB97DF3" w:rsidR="00D44846" w:rsidRPr="00074659" w:rsidRDefault="00D44846" w:rsidP="00D4484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Przewiduje się, że projekt rozporządzenia </w:t>
            </w:r>
            <w:r w:rsidRPr="00074659">
              <w:rPr>
                <w:rFonts w:ascii="Times New Roman" w:hAnsi="Times New Roman"/>
                <w:color w:val="000000"/>
              </w:rPr>
              <w:t xml:space="preserve">może mieć pośredni wpływ na rynek pracy, gdyż </w:t>
            </w:r>
            <w:r>
              <w:rPr>
                <w:rFonts w:ascii="Times New Roman" w:hAnsi="Times New Roman"/>
                <w:color w:val="000000"/>
              </w:rPr>
              <w:t>potencjalnie spowoduje</w:t>
            </w:r>
            <w:r w:rsidRPr="00074659">
              <w:rPr>
                <w:rFonts w:ascii="Times New Roman" w:hAnsi="Times New Roman"/>
                <w:color w:val="000000"/>
              </w:rPr>
              <w:t xml:space="preserve"> zwiększenie liczby </w:t>
            </w:r>
            <w:r>
              <w:rPr>
                <w:rFonts w:ascii="Times New Roman" w:hAnsi="Times New Roman"/>
                <w:color w:val="000000"/>
              </w:rPr>
              <w:t>absolwentów studiów na kierunku lekarskim</w:t>
            </w:r>
            <w:r w:rsidRPr="0007465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44846" w:rsidRPr="00074659" w14:paraId="5D1977C2" w14:textId="77777777" w:rsidTr="00247D45">
        <w:trPr>
          <w:trHeight w:val="142"/>
          <w:jc w:val="center"/>
        </w:trPr>
        <w:tc>
          <w:tcPr>
            <w:tcW w:w="11154" w:type="dxa"/>
            <w:gridSpan w:val="27"/>
            <w:shd w:val="clear" w:color="auto" w:fill="99CCFF"/>
          </w:tcPr>
          <w:p w14:paraId="7ABDC41D" w14:textId="77777777" w:rsidR="00D44846" w:rsidRPr="00074659" w:rsidRDefault="00D44846" w:rsidP="00D4484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74659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D44846" w:rsidRPr="00074659" w14:paraId="7F18D7B2" w14:textId="77777777" w:rsidTr="00247D45">
        <w:trPr>
          <w:trHeight w:val="1031"/>
          <w:jc w:val="center"/>
        </w:trPr>
        <w:tc>
          <w:tcPr>
            <w:tcW w:w="3540" w:type="dxa"/>
            <w:gridSpan w:val="5"/>
            <w:shd w:val="clear" w:color="auto" w:fill="FFFFFF"/>
          </w:tcPr>
          <w:p w14:paraId="3514249F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0CDA4C0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C365468" w14:textId="5CEEDDA5" w:rsidR="00D44846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52B9F355" w14:textId="26FD6C2E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45A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E45A8D">
              <w:rPr>
                <w:rFonts w:ascii="Times New Roman" w:hAnsi="Times New Roman"/>
                <w:color w:val="000000"/>
              </w:rPr>
              <w:fldChar w:fldCharType="end"/>
            </w:r>
            <w:r w:rsidRPr="00E45A8D">
              <w:rPr>
                <w:rFonts w:ascii="Times New Roman" w:hAnsi="Times New Roman"/>
                <w:color w:val="000000"/>
              </w:rPr>
              <w:t xml:space="preserve"> sądy powszechne, administracyjne lub wojskowe</w:t>
            </w:r>
          </w:p>
          <w:p w14:paraId="5B5100E2" w14:textId="30DCD49B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066" w:type="dxa"/>
            <w:gridSpan w:val="11"/>
            <w:shd w:val="clear" w:color="auto" w:fill="FFFFFF"/>
          </w:tcPr>
          <w:p w14:paraId="4D9BB58B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9906E5C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0D62076" w14:textId="77777777" w:rsidR="00D44846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64E6A998" w14:textId="11A843FC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74659">
              <w:rPr>
                <w:rFonts w:ascii="Times New Roman" w:hAnsi="Times New Roman"/>
                <w:color w:val="000000"/>
              </w:rPr>
            </w:r>
            <w:r w:rsidRPr="00074659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/>
                <w:noProof/>
                <w:color w:val="000000"/>
              </w:rPr>
              <w:t> </w:t>
            </w:r>
            <w:r w:rsidRPr="00074659">
              <w:rPr>
                <w:rFonts w:ascii="Times New Roman"/>
                <w:noProof/>
                <w:color w:val="000000"/>
              </w:rPr>
              <w:t> </w:t>
            </w:r>
            <w:r w:rsidRPr="00074659">
              <w:rPr>
                <w:rFonts w:ascii="Times New Roman"/>
                <w:noProof/>
                <w:color w:val="000000"/>
              </w:rPr>
              <w:t> </w:t>
            </w:r>
            <w:r w:rsidRPr="00074659">
              <w:rPr>
                <w:rFonts w:ascii="Times New Roman"/>
                <w:noProof/>
                <w:color w:val="000000"/>
              </w:rPr>
              <w:t> </w:t>
            </w:r>
            <w:r w:rsidRPr="00074659">
              <w:rPr>
                <w:rFonts w:ascii="Times New Roman"/>
                <w:noProof/>
                <w:color w:val="000000"/>
              </w:rPr>
              <w:t> </w:t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48" w:type="dxa"/>
            <w:gridSpan w:val="11"/>
            <w:shd w:val="clear" w:color="auto" w:fill="FFFFFF"/>
          </w:tcPr>
          <w:p w14:paraId="000514D3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DFC85A4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B9FDE1D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7465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074659">
              <w:rPr>
                <w:rFonts w:ascii="Times New Roman" w:hAnsi="Times New Roman"/>
                <w:color w:val="000000"/>
              </w:rPr>
              <w:fldChar w:fldCharType="end"/>
            </w:r>
            <w:r w:rsidRPr="00074659">
              <w:rPr>
                <w:rFonts w:ascii="Times New Roman" w:hAnsi="Times New Roman"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44846" w:rsidRPr="00074659" w14:paraId="514D4C83" w14:textId="77777777" w:rsidTr="00247D45">
        <w:trPr>
          <w:trHeight w:val="712"/>
          <w:jc w:val="center"/>
        </w:trPr>
        <w:tc>
          <w:tcPr>
            <w:tcW w:w="2237" w:type="dxa"/>
            <w:gridSpan w:val="2"/>
            <w:shd w:val="clear" w:color="auto" w:fill="FFFFFF"/>
            <w:vAlign w:val="center"/>
          </w:tcPr>
          <w:p w14:paraId="7717CDB5" w14:textId="77777777" w:rsidR="00D44846" w:rsidRPr="00074659" w:rsidRDefault="00D44846" w:rsidP="00D44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74659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917" w:type="dxa"/>
            <w:gridSpan w:val="25"/>
            <w:shd w:val="clear" w:color="auto" w:fill="FFFFFF"/>
            <w:vAlign w:val="center"/>
          </w:tcPr>
          <w:p w14:paraId="673B974E" w14:textId="2B4BF8A6" w:rsidR="00D44846" w:rsidRPr="00074659" w:rsidRDefault="000B05A4" w:rsidP="00D44846">
            <w:pPr>
              <w:numPr>
                <w:ilvl w:val="0"/>
                <w:numId w:val="22"/>
              </w:numPr>
              <w:spacing w:line="240" w:lineRule="auto"/>
              <w:ind w:left="34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D44846" w:rsidRPr="00074659">
              <w:rPr>
                <w:rFonts w:ascii="Times New Roman" w:hAnsi="Times New Roman"/>
                <w:color w:val="000000"/>
                <w:spacing w:val="-2"/>
              </w:rPr>
              <w:t xml:space="preserve">rojektowana regulacja będzie miała pozytywny wpływ na sytuację i rozwój regionalny, gdyż </w:t>
            </w:r>
            <w:r w:rsidR="00D44846">
              <w:rPr>
                <w:rFonts w:ascii="Times New Roman" w:hAnsi="Times New Roman"/>
                <w:color w:val="000000"/>
                <w:spacing w:val="-2"/>
              </w:rPr>
              <w:t>większa liczba absolwentów studiów na kierunku</w:t>
            </w:r>
            <w:r w:rsidR="00D44846" w:rsidRPr="00074659">
              <w:rPr>
                <w:rFonts w:ascii="Times New Roman" w:hAnsi="Times New Roman"/>
                <w:color w:val="000000"/>
                <w:spacing w:val="-2"/>
              </w:rPr>
              <w:t xml:space="preserve"> lekarski</w:t>
            </w:r>
            <w:r w:rsidR="00D44846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D44846" w:rsidRPr="00074659">
              <w:rPr>
                <w:rFonts w:ascii="Times New Roman" w:hAnsi="Times New Roman"/>
                <w:color w:val="000000"/>
                <w:spacing w:val="-2"/>
              </w:rPr>
              <w:t xml:space="preserve"> uzupełni ewentualny niedobór </w:t>
            </w:r>
            <w:r w:rsidR="00D44846">
              <w:rPr>
                <w:rFonts w:ascii="Times New Roman" w:hAnsi="Times New Roman"/>
                <w:color w:val="000000"/>
                <w:spacing w:val="-2"/>
              </w:rPr>
              <w:t>kadry</w:t>
            </w:r>
            <w:r w:rsidR="00D44846" w:rsidRPr="00074659">
              <w:rPr>
                <w:rFonts w:ascii="Times New Roman" w:hAnsi="Times New Roman"/>
                <w:color w:val="000000"/>
                <w:spacing w:val="-2"/>
              </w:rPr>
              <w:t xml:space="preserve"> medycznej.</w:t>
            </w:r>
          </w:p>
          <w:p w14:paraId="74288398" w14:textId="1C8EC88E" w:rsidR="00D44846" w:rsidRPr="00442F23" w:rsidRDefault="000B05A4" w:rsidP="00D44846">
            <w:pPr>
              <w:numPr>
                <w:ilvl w:val="0"/>
                <w:numId w:val="22"/>
              </w:numPr>
              <w:spacing w:line="240" w:lineRule="auto"/>
              <w:ind w:left="34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D44846" w:rsidRPr="00074659">
              <w:rPr>
                <w:rFonts w:ascii="Times New Roman" w:hAnsi="Times New Roman"/>
                <w:color w:val="000000"/>
                <w:spacing w:val="-2"/>
              </w:rPr>
              <w:t xml:space="preserve">rojektowana regulacja będzie miała pozytywny wpływ na zwiększenie dostępności </w:t>
            </w:r>
            <w:r w:rsidR="00D44846">
              <w:rPr>
                <w:rFonts w:ascii="Times New Roman" w:hAnsi="Times New Roman"/>
                <w:color w:val="000000"/>
                <w:spacing w:val="-2"/>
              </w:rPr>
              <w:t xml:space="preserve">do udzielanych </w:t>
            </w:r>
            <w:r w:rsidR="00D44846" w:rsidRPr="00074659">
              <w:rPr>
                <w:rFonts w:ascii="Times New Roman" w:hAnsi="Times New Roman"/>
                <w:color w:val="000000"/>
                <w:spacing w:val="-2"/>
              </w:rPr>
              <w:t>świadczeń opieki zdrowo</w:t>
            </w:r>
            <w:r w:rsidR="00D44846">
              <w:rPr>
                <w:rFonts w:ascii="Times New Roman" w:hAnsi="Times New Roman"/>
                <w:color w:val="000000"/>
                <w:spacing w:val="-2"/>
              </w:rPr>
              <w:t xml:space="preserve">tnej – </w:t>
            </w:r>
            <w:r w:rsidR="00D44846" w:rsidRPr="00074659">
              <w:rPr>
                <w:rFonts w:ascii="Times New Roman" w:hAnsi="Times New Roman"/>
                <w:color w:val="000000"/>
                <w:spacing w:val="-2"/>
              </w:rPr>
              <w:t>z uwagi na projektowane zwiększenie</w:t>
            </w:r>
            <w:r w:rsidR="00D44846">
              <w:rPr>
                <w:rFonts w:ascii="Times New Roman" w:hAnsi="Times New Roman"/>
                <w:color w:val="000000"/>
                <w:spacing w:val="-2"/>
              </w:rPr>
              <w:t xml:space="preserve"> limitu przyjęć na studia na ww. kierunku</w:t>
            </w:r>
            <w:r w:rsidR="00D44846" w:rsidRPr="0007465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44846">
              <w:rPr>
                <w:rFonts w:ascii="Times New Roman" w:hAnsi="Times New Roman"/>
                <w:color w:val="000000"/>
                <w:spacing w:val="-2"/>
              </w:rPr>
              <w:t>– proporcjonalnemu zwiększeniu może ulec liczba</w:t>
            </w:r>
            <w:r w:rsidR="00D44846" w:rsidRPr="00074659">
              <w:rPr>
                <w:rFonts w:ascii="Times New Roman" w:hAnsi="Times New Roman"/>
                <w:color w:val="000000"/>
                <w:spacing w:val="-2"/>
              </w:rPr>
              <w:t xml:space="preserve"> absolwentów</w:t>
            </w:r>
            <w:r w:rsidR="00D44846">
              <w:rPr>
                <w:rFonts w:ascii="Times New Roman" w:hAnsi="Times New Roman"/>
                <w:color w:val="000000"/>
                <w:spacing w:val="-2"/>
              </w:rPr>
              <w:t xml:space="preserve"> studiów na tym</w:t>
            </w:r>
            <w:r w:rsidR="00D44846" w:rsidRPr="00074659">
              <w:rPr>
                <w:rFonts w:ascii="Times New Roman" w:hAnsi="Times New Roman"/>
                <w:color w:val="000000"/>
                <w:spacing w:val="-2"/>
              </w:rPr>
              <w:t xml:space="preserve"> kierunku</w:t>
            </w:r>
            <w:r w:rsidR="00D44846">
              <w:rPr>
                <w:rFonts w:ascii="Times New Roman" w:hAnsi="Times New Roman"/>
                <w:color w:val="000000"/>
                <w:spacing w:val="-2"/>
              </w:rPr>
              <w:t xml:space="preserve">.  </w:t>
            </w:r>
          </w:p>
        </w:tc>
      </w:tr>
      <w:tr w:rsidR="00D44846" w:rsidRPr="00074659" w14:paraId="65208FCD" w14:textId="77777777" w:rsidTr="00247D45">
        <w:trPr>
          <w:trHeight w:val="142"/>
          <w:jc w:val="center"/>
        </w:trPr>
        <w:tc>
          <w:tcPr>
            <w:tcW w:w="11154" w:type="dxa"/>
            <w:gridSpan w:val="27"/>
            <w:shd w:val="clear" w:color="auto" w:fill="99CCFF"/>
          </w:tcPr>
          <w:p w14:paraId="1D7D25D1" w14:textId="77777777" w:rsidR="00D44846" w:rsidRPr="00074659" w:rsidRDefault="00D44846" w:rsidP="00D4484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74659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D44846" w:rsidRPr="00074659" w14:paraId="14D2C7AF" w14:textId="77777777" w:rsidTr="00247D45">
        <w:trPr>
          <w:trHeight w:val="142"/>
          <w:jc w:val="center"/>
        </w:trPr>
        <w:tc>
          <w:tcPr>
            <w:tcW w:w="11154" w:type="dxa"/>
            <w:gridSpan w:val="27"/>
            <w:shd w:val="clear" w:color="auto" w:fill="FFFFFF"/>
          </w:tcPr>
          <w:p w14:paraId="2D399340" w14:textId="77777777" w:rsidR="00D44846" w:rsidRPr="00074659" w:rsidRDefault="00D44846" w:rsidP="00D4484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74659">
              <w:rPr>
                <w:rFonts w:ascii="Times New Roman" w:hAnsi="Times New Roman"/>
                <w:spacing w:val="-2"/>
              </w:rPr>
              <w:t xml:space="preserve">Proponuje się, aby przepisy rozporządzenia weszły w życie z dniem </w:t>
            </w:r>
            <w:r>
              <w:rPr>
                <w:rFonts w:ascii="Times New Roman" w:hAnsi="Times New Roman"/>
                <w:spacing w:val="-2"/>
              </w:rPr>
              <w:t xml:space="preserve">następującym po dniu </w:t>
            </w:r>
            <w:r w:rsidRPr="00074659">
              <w:rPr>
                <w:rFonts w:ascii="Times New Roman" w:hAnsi="Times New Roman"/>
                <w:spacing w:val="-2"/>
              </w:rPr>
              <w:t>ogłoszenia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D44846" w:rsidRPr="00074659" w14:paraId="2ED59BE1" w14:textId="77777777" w:rsidTr="00247D45">
        <w:trPr>
          <w:trHeight w:val="142"/>
          <w:jc w:val="center"/>
        </w:trPr>
        <w:tc>
          <w:tcPr>
            <w:tcW w:w="11154" w:type="dxa"/>
            <w:gridSpan w:val="27"/>
            <w:shd w:val="clear" w:color="auto" w:fill="99CCFF"/>
          </w:tcPr>
          <w:p w14:paraId="75433859" w14:textId="77777777" w:rsidR="00D44846" w:rsidRPr="00074659" w:rsidRDefault="00D44846" w:rsidP="00D4484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7465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74659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D44846" w:rsidRPr="00074659" w14:paraId="00357C69" w14:textId="77777777" w:rsidTr="00247D45">
        <w:trPr>
          <w:trHeight w:val="142"/>
          <w:jc w:val="center"/>
        </w:trPr>
        <w:tc>
          <w:tcPr>
            <w:tcW w:w="11154" w:type="dxa"/>
            <w:gridSpan w:val="27"/>
            <w:shd w:val="clear" w:color="auto" w:fill="FFFFFF"/>
          </w:tcPr>
          <w:p w14:paraId="53C9CFCB" w14:textId="77777777" w:rsidR="00D44846" w:rsidRPr="00074659" w:rsidRDefault="00D44846" w:rsidP="00D4484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Ewaluacja efektów zostanie przeprowadzona po zakończeniu procesu rekrutacji w oparciu o analizę liczby przyjętych studentów.</w:t>
            </w:r>
          </w:p>
        </w:tc>
      </w:tr>
      <w:tr w:rsidR="00D44846" w:rsidRPr="00074659" w14:paraId="57C81112" w14:textId="77777777" w:rsidTr="00247D45">
        <w:trPr>
          <w:trHeight w:val="142"/>
          <w:jc w:val="center"/>
        </w:trPr>
        <w:tc>
          <w:tcPr>
            <w:tcW w:w="11154" w:type="dxa"/>
            <w:gridSpan w:val="27"/>
            <w:shd w:val="clear" w:color="auto" w:fill="99CCFF"/>
          </w:tcPr>
          <w:p w14:paraId="1EF27D92" w14:textId="77777777" w:rsidR="00D44846" w:rsidRPr="00074659" w:rsidRDefault="00D44846" w:rsidP="00D4484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74659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74659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074659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44846" w:rsidRPr="00074659" w14:paraId="1172EA26" w14:textId="77777777" w:rsidTr="00247D45">
        <w:trPr>
          <w:trHeight w:val="142"/>
          <w:jc w:val="center"/>
        </w:trPr>
        <w:tc>
          <w:tcPr>
            <w:tcW w:w="11154" w:type="dxa"/>
            <w:gridSpan w:val="27"/>
            <w:shd w:val="clear" w:color="auto" w:fill="FFFFFF"/>
          </w:tcPr>
          <w:p w14:paraId="3143CF42" w14:textId="77777777" w:rsidR="00D44846" w:rsidRPr="00074659" w:rsidRDefault="00D44846" w:rsidP="00D4484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008D7F1D" w14:textId="77777777" w:rsidR="006176ED" w:rsidRPr="00522D94" w:rsidRDefault="009D0655" w:rsidP="00D940C0">
      <w:pPr>
        <w:pStyle w:val="Nagwek1"/>
        <w:jc w:val="center"/>
      </w:pPr>
      <w: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1084" w14:textId="77777777" w:rsidR="00C75619" w:rsidRDefault="00C75619" w:rsidP="00044739">
      <w:pPr>
        <w:spacing w:line="240" w:lineRule="auto"/>
      </w:pPr>
      <w:r>
        <w:separator/>
      </w:r>
    </w:p>
  </w:endnote>
  <w:endnote w:type="continuationSeparator" w:id="0">
    <w:p w14:paraId="2F4FEB11" w14:textId="77777777" w:rsidR="00C75619" w:rsidRDefault="00C75619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43A9" w14:textId="77777777" w:rsidR="00C75619" w:rsidRDefault="00C75619" w:rsidP="00044739">
      <w:pPr>
        <w:spacing w:line="240" w:lineRule="auto"/>
      </w:pPr>
      <w:r>
        <w:separator/>
      </w:r>
    </w:p>
  </w:footnote>
  <w:footnote w:type="continuationSeparator" w:id="0">
    <w:p w14:paraId="75755ADC" w14:textId="77777777" w:rsidR="00C75619" w:rsidRDefault="00C75619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7B53A19"/>
    <w:multiLevelType w:val="hybridMultilevel"/>
    <w:tmpl w:val="031C83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BF14ED"/>
    <w:multiLevelType w:val="hybridMultilevel"/>
    <w:tmpl w:val="0A3AAA58"/>
    <w:lvl w:ilvl="0" w:tplc="EDE29DF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E5B6D0A"/>
    <w:multiLevelType w:val="hybridMultilevel"/>
    <w:tmpl w:val="EB0A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70E05C1"/>
    <w:multiLevelType w:val="hybridMultilevel"/>
    <w:tmpl w:val="D720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8526336"/>
    <w:multiLevelType w:val="hybridMultilevel"/>
    <w:tmpl w:val="BF66461E"/>
    <w:lvl w:ilvl="0" w:tplc="EDE29DF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723C8D"/>
    <w:multiLevelType w:val="hybridMultilevel"/>
    <w:tmpl w:val="1E3ADAB2"/>
    <w:lvl w:ilvl="0" w:tplc="7F2C22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82565076">
    <w:abstractNumId w:val="5"/>
  </w:num>
  <w:num w:numId="2" w16cid:durableId="1821799510">
    <w:abstractNumId w:val="0"/>
  </w:num>
  <w:num w:numId="3" w16cid:durableId="555508661">
    <w:abstractNumId w:val="10"/>
  </w:num>
  <w:num w:numId="4" w16cid:durableId="223875534">
    <w:abstractNumId w:val="21"/>
  </w:num>
  <w:num w:numId="5" w16cid:durableId="715859273">
    <w:abstractNumId w:val="1"/>
  </w:num>
  <w:num w:numId="6" w16cid:durableId="757555961">
    <w:abstractNumId w:val="9"/>
  </w:num>
  <w:num w:numId="7" w16cid:durableId="1912083381">
    <w:abstractNumId w:val="14"/>
  </w:num>
  <w:num w:numId="8" w16cid:durableId="1666401421">
    <w:abstractNumId w:val="6"/>
  </w:num>
  <w:num w:numId="9" w16cid:durableId="892624129">
    <w:abstractNumId w:val="16"/>
  </w:num>
  <w:num w:numId="10" w16cid:durableId="1056123749">
    <w:abstractNumId w:val="12"/>
  </w:num>
  <w:num w:numId="11" w16cid:durableId="738479741">
    <w:abstractNumId w:val="15"/>
  </w:num>
  <w:num w:numId="12" w16cid:durableId="873156713">
    <w:abstractNumId w:val="2"/>
  </w:num>
  <w:num w:numId="13" w16cid:durableId="608001648">
    <w:abstractNumId w:val="11"/>
  </w:num>
  <w:num w:numId="14" w16cid:durableId="375550927">
    <w:abstractNumId w:val="22"/>
  </w:num>
  <w:num w:numId="15" w16cid:durableId="1720743122">
    <w:abstractNumId w:val="18"/>
  </w:num>
  <w:num w:numId="16" w16cid:durableId="1231699674">
    <w:abstractNumId w:val="20"/>
  </w:num>
  <w:num w:numId="17" w16cid:durableId="1054428364">
    <w:abstractNumId w:val="7"/>
  </w:num>
  <w:num w:numId="18" w16cid:durableId="1943490148">
    <w:abstractNumId w:val="25"/>
  </w:num>
  <w:num w:numId="19" w16cid:durableId="2138646989">
    <w:abstractNumId w:val="26"/>
  </w:num>
  <w:num w:numId="20" w16cid:durableId="963924244">
    <w:abstractNumId w:val="19"/>
  </w:num>
  <w:num w:numId="21" w16cid:durableId="1214776423">
    <w:abstractNumId w:val="8"/>
  </w:num>
  <w:num w:numId="22" w16cid:durableId="1266113954">
    <w:abstractNumId w:val="13"/>
  </w:num>
  <w:num w:numId="23" w16cid:durableId="860897119">
    <w:abstractNumId w:val="17"/>
  </w:num>
  <w:num w:numId="24" w16cid:durableId="746195157">
    <w:abstractNumId w:val="3"/>
  </w:num>
  <w:num w:numId="25" w16cid:durableId="247348808">
    <w:abstractNumId w:val="4"/>
  </w:num>
  <w:num w:numId="26" w16cid:durableId="1636983980">
    <w:abstractNumId w:val="23"/>
  </w:num>
  <w:num w:numId="27" w16cid:durableId="12664955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0996"/>
    <w:rsid w:val="000015EE"/>
    <w:rsid w:val="000022D5"/>
    <w:rsid w:val="000041A0"/>
    <w:rsid w:val="00004C6A"/>
    <w:rsid w:val="0000508B"/>
    <w:rsid w:val="00005E0C"/>
    <w:rsid w:val="000066A8"/>
    <w:rsid w:val="00012D11"/>
    <w:rsid w:val="00013EB5"/>
    <w:rsid w:val="00023836"/>
    <w:rsid w:val="00031FB2"/>
    <w:rsid w:val="0003295A"/>
    <w:rsid w:val="00033B04"/>
    <w:rsid w:val="000356A9"/>
    <w:rsid w:val="00035A36"/>
    <w:rsid w:val="00036A5B"/>
    <w:rsid w:val="00037BA2"/>
    <w:rsid w:val="00044138"/>
    <w:rsid w:val="00044739"/>
    <w:rsid w:val="00045658"/>
    <w:rsid w:val="00045C11"/>
    <w:rsid w:val="00047183"/>
    <w:rsid w:val="00047CAB"/>
    <w:rsid w:val="00050F01"/>
    <w:rsid w:val="00051637"/>
    <w:rsid w:val="00056681"/>
    <w:rsid w:val="00060EC3"/>
    <w:rsid w:val="000648A7"/>
    <w:rsid w:val="00064DB9"/>
    <w:rsid w:val="0006572C"/>
    <w:rsid w:val="0006618B"/>
    <w:rsid w:val="000670C0"/>
    <w:rsid w:val="00071B99"/>
    <w:rsid w:val="00074659"/>
    <w:rsid w:val="00074988"/>
    <w:rsid w:val="000756E5"/>
    <w:rsid w:val="0007704E"/>
    <w:rsid w:val="00080A31"/>
    <w:rsid w:val="00080EC8"/>
    <w:rsid w:val="00081B1A"/>
    <w:rsid w:val="00083D50"/>
    <w:rsid w:val="00085FB5"/>
    <w:rsid w:val="000867A8"/>
    <w:rsid w:val="00090550"/>
    <w:rsid w:val="0009113D"/>
    <w:rsid w:val="00092B99"/>
    <w:rsid w:val="000930DE"/>
    <w:rsid w:val="000944AC"/>
    <w:rsid w:val="00094CB9"/>
    <w:rsid w:val="00095014"/>
    <w:rsid w:val="000956B2"/>
    <w:rsid w:val="000969E7"/>
    <w:rsid w:val="00096B41"/>
    <w:rsid w:val="000A23DE"/>
    <w:rsid w:val="000A4020"/>
    <w:rsid w:val="000B05A4"/>
    <w:rsid w:val="000B342F"/>
    <w:rsid w:val="000B4100"/>
    <w:rsid w:val="000B5246"/>
    <w:rsid w:val="000B54FB"/>
    <w:rsid w:val="000C22E7"/>
    <w:rsid w:val="000C26F4"/>
    <w:rsid w:val="000C29B0"/>
    <w:rsid w:val="000C396C"/>
    <w:rsid w:val="000C5064"/>
    <w:rsid w:val="000C5E4F"/>
    <w:rsid w:val="000C6C60"/>
    <w:rsid w:val="000C76FC"/>
    <w:rsid w:val="000D0F27"/>
    <w:rsid w:val="000D1053"/>
    <w:rsid w:val="000D38FC"/>
    <w:rsid w:val="000D4D90"/>
    <w:rsid w:val="000E0E10"/>
    <w:rsid w:val="000E1ACB"/>
    <w:rsid w:val="000E2D10"/>
    <w:rsid w:val="000E495A"/>
    <w:rsid w:val="000F21FC"/>
    <w:rsid w:val="000F3204"/>
    <w:rsid w:val="000F3FF2"/>
    <w:rsid w:val="000F50AB"/>
    <w:rsid w:val="000F5359"/>
    <w:rsid w:val="000F543F"/>
    <w:rsid w:val="000F54AF"/>
    <w:rsid w:val="000F60C4"/>
    <w:rsid w:val="001018A1"/>
    <w:rsid w:val="00105057"/>
    <w:rsid w:val="0010548B"/>
    <w:rsid w:val="00105DFA"/>
    <w:rsid w:val="00106E42"/>
    <w:rsid w:val="00107134"/>
    <w:rsid w:val="001072D1"/>
    <w:rsid w:val="00107E0B"/>
    <w:rsid w:val="00110984"/>
    <w:rsid w:val="00114624"/>
    <w:rsid w:val="00115E9E"/>
    <w:rsid w:val="00117017"/>
    <w:rsid w:val="00120730"/>
    <w:rsid w:val="00124392"/>
    <w:rsid w:val="00126621"/>
    <w:rsid w:val="00126FEC"/>
    <w:rsid w:val="00127B2B"/>
    <w:rsid w:val="00130E8E"/>
    <w:rsid w:val="0013216E"/>
    <w:rsid w:val="00132F93"/>
    <w:rsid w:val="00133395"/>
    <w:rsid w:val="00137836"/>
    <w:rsid w:val="001401B5"/>
    <w:rsid w:val="00141C46"/>
    <w:rsid w:val="001422B9"/>
    <w:rsid w:val="00142CE9"/>
    <w:rsid w:val="00142E2C"/>
    <w:rsid w:val="00143C15"/>
    <w:rsid w:val="0014665F"/>
    <w:rsid w:val="00150D2D"/>
    <w:rsid w:val="00152FAD"/>
    <w:rsid w:val="00153464"/>
    <w:rsid w:val="001541B3"/>
    <w:rsid w:val="00155B15"/>
    <w:rsid w:val="00155C19"/>
    <w:rsid w:val="00157FC7"/>
    <w:rsid w:val="001625BE"/>
    <w:rsid w:val="001643A4"/>
    <w:rsid w:val="0016506A"/>
    <w:rsid w:val="00170E42"/>
    <w:rsid w:val="001727BB"/>
    <w:rsid w:val="00175BA1"/>
    <w:rsid w:val="00176277"/>
    <w:rsid w:val="00177963"/>
    <w:rsid w:val="00180D25"/>
    <w:rsid w:val="0018246C"/>
    <w:rsid w:val="00182EB6"/>
    <w:rsid w:val="0018318D"/>
    <w:rsid w:val="0018572C"/>
    <w:rsid w:val="0018688B"/>
    <w:rsid w:val="00186CDD"/>
    <w:rsid w:val="00187E79"/>
    <w:rsid w:val="00187F0D"/>
    <w:rsid w:val="0019192B"/>
    <w:rsid w:val="00192CC5"/>
    <w:rsid w:val="00193024"/>
    <w:rsid w:val="0019323D"/>
    <w:rsid w:val="001956A7"/>
    <w:rsid w:val="0019598D"/>
    <w:rsid w:val="001A118A"/>
    <w:rsid w:val="001A24CA"/>
    <w:rsid w:val="001A27F4"/>
    <w:rsid w:val="001A2D95"/>
    <w:rsid w:val="001A2F33"/>
    <w:rsid w:val="001A3CD6"/>
    <w:rsid w:val="001A5748"/>
    <w:rsid w:val="001B0AB3"/>
    <w:rsid w:val="001B3460"/>
    <w:rsid w:val="001B3D2D"/>
    <w:rsid w:val="001B3F73"/>
    <w:rsid w:val="001B4CA1"/>
    <w:rsid w:val="001B5893"/>
    <w:rsid w:val="001B75D8"/>
    <w:rsid w:val="001C1060"/>
    <w:rsid w:val="001C3C63"/>
    <w:rsid w:val="001C4705"/>
    <w:rsid w:val="001C7F45"/>
    <w:rsid w:val="001D017D"/>
    <w:rsid w:val="001D01F6"/>
    <w:rsid w:val="001D2287"/>
    <w:rsid w:val="001D3910"/>
    <w:rsid w:val="001D3E2B"/>
    <w:rsid w:val="001D4732"/>
    <w:rsid w:val="001D6000"/>
    <w:rsid w:val="001D6A3C"/>
    <w:rsid w:val="001D6D51"/>
    <w:rsid w:val="001E16DC"/>
    <w:rsid w:val="001E1B21"/>
    <w:rsid w:val="001E35E7"/>
    <w:rsid w:val="001E4B51"/>
    <w:rsid w:val="001E5FF6"/>
    <w:rsid w:val="001E6028"/>
    <w:rsid w:val="001E78D7"/>
    <w:rsid w:val="001F0D82"/>
    <w:rsid w:val="001F568A"/>
    <w:rsid w:val="001F653A"/>
    <w:rsid w:val="001F6979"/>
    <w:rsid w:val="001F792E"/>
    <w:rsid w:val="00200D3C"/>
    <w:rsid w:val="00202BC6"/>
    <w:rsid w:val="00202D1C"/>
    <w:rsid w:val="002032E1"/>
    <w:rsid w:val="00205141"/>
    <w:rsid w:val="0020516B"/>
    <w:rsid w:val="00210F5F"/>
    <w:rsid w:val="00213559"/>
    <w:rsid w:val="002139D8"/>
    <w:rsid w:val="00213EFD"/>
    <w:rsid w:val="0021524E"/>
    <w:rsid w:val="00215FE7"/>
    <w:rsid w:val="00216928"/>
    <w:rsid w:val="002172F1"/>
    <w:rsid w:val="00217319"/>
    <w:rsid w:val="00217BAF"/>
    <w:rsid w:val="002234EF"/>
    <w:rsid w:val="00223C7B"/>
    <w:rsid w:val="0022489F"/>
    <w:rsid w:val="00224AB1"/>
    <w:rsid w:val="0022672B"/>
    <w:rsid w:val="0022687A"/>
    <w:rsid w:val="00230728"/>
    <w:rsid w:val="0023307B"/>
    <w:rsid w:val="0023369E"/>
    <w:rsid w:val="0023395D"/>
    <w:rsid w:val="00234040"/>
    <w:rsid w:val="00235CD2"/>
    <w:rsid w:val="00236D44"/>
    <w:rsid w:val="00241014"/>
    <w:rsid w:val="00241897"/>
    <w:rsid w:val="00241C05"/>
    <w:rsid w:val="00243AFC"/>
    <w:rsid w:val="0024643F"/>
    <w:rsid w:val="00246786"/>
    <w:rsid w:val="00247D45"/>
    <w:rsid w:val="00253E7E"/>
    <w:rsid w:val="00254DED"/>
    <w:rsid w:val="00255619"/>
    <w:rsid w:val="002557E2"/>
    <w:rsid w:val="00255DAD"/>
    <w:rsid w:val="00256108"/>
    <w:rsid w:val="00260F33"/>
    <w:rsid w:val="0026113F"/>
    <w:rsid w:val="002613BD"/>
    <w:rsid w:val="002624F1"/>
    <w:rsid w:val="00270C81"/>
    <w:rsid w:val="00270ECB"/>
    <w:rsid w:val="00271002"/>
    <w:rsid w:val="00271558"/>
    <w:rsid w:val="0027199A"/>
    <w:rsid w:val="00271E99"/>
    <w:rsid w:val="00274862"/>
    <w:rsid w:val="00276245"/>
    <w:rsid w:val="002770DC"/>
    <w:rsid w:val="0027748E"/>
    <w:rsid w:val="00280180"/>
    <w:rsid w:val="002803B3"/>
    <w:rsid w:val="0028161C"/>
    <w:rsid w:val="00282D72"/>
    <w:rsid w:val="00283402"/>
    <w:rsid w:val="0028392B"/>
    <w:rsid w:val="002876FF"/>
    <w:rsid w:val="00290FD6"/>
    <w:rsid w:val="00294259"/>
    <w:rsid w:val="002955BF"/>
    <w:rsid w:val="002960D0"/>
    <w:rsid w:val="0029750F"/>
    <w:rsid w:val="002A22E1"/>
    <w:rsid w:val="002A2C81"/>
    <w:rsid w:val="002A6F2C"/>
    <w:rsid w:val="002A72C1"/>
    <w:rsid w:val="002B0071"/>
    <w:rsid w:val="002B027D"/>
    <w:rsid w:val="002B0499"/>
    <w:rsid w:val="002B0F61"/>
    <w:rsid w:val="002B3D1A"/>
    <w:rsid w:val="002B7002"/>
    <w:rsid w:val="002C27D0"/>
    <w:rsid w:val="002C2C9B"/>
    <w:rsid w:val="002D17D6"/>
    <w:rsid w:val="002D18D7"/>
    <w:rsid w:val="002D1B2B"/>
    <w:rsid w:val="002D21CE"/>
    <w:rsid w:val="002D3583"/>
    <w:rsid w:val="002D41B2"/>
    <w:rsid w:val="002E3DA3"/>
    <w:rsid w:val="002E450F"/>
    <w:rsid w:val="002E6B38"/>
    <w:rsid w:val="002E6D63"/>
    <w:rsid w:val="002E6E2B"/>
    <w:rsid w:val="002F256A"/>
    <w:rsid w:val="002F2FF2"/>
    <w:rsid w:val="002F412E"/>
    <w:rsid w:val="002F41D4"/>
    <w:rsid w:val="002F4440"/>
    <w:rsid w:val="002F4921"/>
    <w:rsid w:val="002F500B"/>
    <w:rsid w:val="002F50B5"/>
    <w:rsid w:val="002F5964"/>
    <w:rsid w:val="002F6B1F"/>
    <w:rsid w:val="00300991"/>
    <w:rsid w:val="00301959"/>
    <w:rsid w:val="00304199"/>
    <w:rsid w:val="0030465B"/>
    <w:rsid w:val="00305B8A"/>
    <w:rsid w:val="00321422"/>
    <w:rsid w:val="00322205"/>
    <w:rsid w:val="003228C7"/>
    <w:rsid w:val="00331BF9"/>
    <w:rsid w:val="00334309"/>
    <w:rsid w:val="0033495E"/>
    <w:rsid w:val="00334A79"/>
    <w:rsid w:val="00334D8D"/>
    <w:rsid w:val="00337345"/>
    <w:rsid w:val="00337DCC"/>
    <w:rsid w:val="00337DD2"/>
    <w:rsid w:val="00340094"/>
    <w:rsid w:val="003404D1"/>
    <w:rsid w:val="00343EC8"/>
    <w:rsid w:val="003443FF"/>
    <w:rsid w:val="00345C3A"/>
    <w:rsid w:val="003502ED"/>
    <w:rsid w:val="00352119"/>
    <w:rsid w:val="00352825"/>
    <w:rsid w:val="00355808"/>
    <w:rsid w:val="0036087D"/>
    <w:rsid w:val="00361A2E"/>
    <w:rsid w:val="0036248F"/>
    <w:rsid w:val="00362C7E"/>
    <w:rsid w:val="00363309"/>
    <w:rsid w:val="00363601"/>
    <w:rsid w:val="00363981"/>
    <w:rsid w:val="00365165"/>
    <w:rsid w:val="00370D55"/>
    <w:rsid w:val="00372FF0"/>
    <w:rsid w:val="0037374F"/>
    <w:rsid w:val="003738E5"/>
    <w:rsid w:val="00374DB4"/>
    <w:rsid w:val="00374FD5"/>
    <w:rsid w:val="0037571E"/>
    <w:rsid w:val="0037693C"/>
    <w:rsid w:val="00376AC9"/>
    <w:rsid w:val="003773B1"/>
    <w:rsid w:val="00383123"/>
    <w:rsid w:val="0038494F"/>
    <w:rsid w:val="00384BAC"/>
    <w:rsid w:val="00385D81"/>
    <w:rsid w:val="003900C9"/>
    <w:rsid w:val="00393032"/>
    <w:rsid w:val="003939FD"/>
    <w:rsid w:val="00394B69"/>
    <w:rsid w:val="00397078"/>
    <w:rsid w:val="003A0CB0"/>
    <w:rsid w:val="003A1DD0"/>
    <w:rsid w:val="003A23EB"/>
    <w:rsid w:val="003A2907"/>
    <w:rsid w:val="003A38A2"/>
    <w:rsid w:val="003A6953"/>
    <w:rsid w:val="003A7C94"/>
    <w:rsid w:val="003B4D98"/>
    <w:rsid w:val="003B5945"/>
    <w:rsid w:val="003B6083"/>
    <w:rsid w:val="003B61C6"/>
    <w:rsid w:val="003C3838"/>
    <w:rsid w:val="003C45C7"/>
    <w:rsid w:val="003C5847"/>
    <w:rsid w:val="003C61EB"/>
    <w:rsid w:val="003D01AE"/>
    <w:rsid w:val="003D0681"/>
    <w:rsid w:val="003D12F6"/>
    <w:rsid w:val="003D1426"/>
    <w:rsid w:val="003D466F"/>
    <w:rsid w:val="003D46A3"/>
    <w:rsid w:val="003D4900"/>
    <w:rsid w:val="003D548A"/>
    <w:rsid w:val="003D7FC6"/>
    <w:rsid w:val="003E2E79"/>
    <w:rsid w:val="003E2F4E"/>
    <w:rsid w:val="003E3B92"/>
    <w:rsid w:val="003E6019"/>
    <w:rsid w:val="003E720A"/>
    <w:rsid w:val="003E7804"/>
    <w:rsid w:val="003F274F"/>
    <w:rsid w:val="003F27D2"/>
    <w:rsid w:val="003F6235"/>
    <w:rsid w:val="003F64E7"/>
    <w:rsid w:val="003F69BA"/>
    <w:rsid w:val="004037B1"/>
    <w:rsid w:val="00403E6E"/>
    <w:rsid w:val="004065D8"/>
    <w:rsid w:val="00410C6B"/>
    <w:rsid w:val="004129B4"/>
    <w:rsid w:val="00417EF0"/>
    <w:rsid w:val="00420E9E"/>
    <w:rsid w:val="004220AD"/>
    <w:rsid w:val="00422181"/>
    <w:rsid w:val="00422731"/>
    <w:rsid w:val="00423128"/>
    <w:rsid w:val="004244A8"/>
    <w:rsid w:val="004259D0"/>
    <w:rsid w:val="00425F72"/>
    <w:rsid w:val="00426BBC"/>
    <w:rsid w:val="00427736"/>
    <w:rsid w:val="00436C89"/>
    <w:rsid w:val="0044061F"/>
    <w:rsid w:val="00441787"/>
    <w:rsid w:val="00441D82"/>
    <w:rsid w:val="00441EF2"/>
    <w:rsid w:val="00442F23"/>
    <w:rsid w:val="00443E0D"/>
    <w:rsid w:val="00444D7B"/>
    <w:rsid w:val="00444F2D"/>
    <w:rsid w:val="00451793"/>
    <w:rsid w:val="00452034"/>
    <w:rsid w:val="00453157"/>
    <w:rsid w:val="004536DA"/>
    <w:rsid w:val="00455FA6"/>
    <w:rsid w:val="004604D9"/>
    <w:rsid w:val="0046572E"/>
    <w:rsid w:val="00466C70"/>
    <w:rsid w:val="004702C9"/>
    <w:rsid w:val="00472752"/>
    <w:rsid w:val="00472E45"/>
    <w:rsid w:val="00473FEA"/>
    <w:rsid w:val="004740BE"/>
    <w:rsid w:val="0047529D"/>
    <w:rsid w:val="0047579D"/>
    <w:rsid w:val="004759A6"/>
    <w:rsid w:val="0047659C"/>
    <w:rsid w:val="00477246"/>
    <w:rsid w:val="00482390"/>
    <w:rsid w:val="00483262"/>
    <w:rsid w:val="00483E3A"/>
    <w:rsid w:val="00484107"/>
    <w:rsid w:val="00485CC5"/>
    <w:rsid w:val="0049343F"/>
    <w:rsid w:val="0049616C"/>
    <w:rsid w:val="004964FC"/>
    <w:rsid w:val="004A145E"/>
    <w:rsid w:val="004A1F15"/>
    <w:rsid w:val="004A2A81"/>
    <w:rsid w:val="004A397F"/>
    <w:rsid w:val="004A4D2B"/>
    <w:rsid w:val="004A67E5"/>
    <w:rsid w:val="004A7BD7"/>
    <w:rsid w:val="004B319F"/>
    <w:rsid w:val="004B3C14"/>
    <w:rsid w:val="004B71DE"/>
    <w:rsid w:val="004C03AB"/>
    <w:rsid w:val="004C15C2"/>
    <w:rsid w:val="004C36D8"/>
    <w:rsid w:val="004C4647"/>
    <w:rsid w:val="004C5D76"/>
    <w:rsid w:val="004D0BAF"/>
    <w:rsid w:val="004D0C8C"/>
    <w:rsid w:val="004D1248"/>
    <w:rsid w:val="004D1E3C"/>
    <w:rsid w:val="004D1FB8"/>
    <w:rsid w:val="004D4169"/>
    <w:rsid w:val="004D50D9"/>
    <w:rsid w:val="004D6E14"/>
    <w:rsid w:val="004D7863"/>
    <w:rsid w:val="004E598E"/>
    <w:rsid w:val="004E629A"/>
    <w:rsid w:val="004F2413"/>
    <w:rsid w:val="004F2D4F"/>
    <w:rsid w:val="004F3594"/>
    <w:rsid w:val="004F386E"/>
    <w:rsid w:val="004F4E17"/>
    <w:rsid w:val="004F6255"/>
    <w:rsid w:val="0050082F"/>
    <w:rsid w:val="00500C56"/>
    <w:rsid w:val="00501713"/>
    <w:rsid w:val="0050192A"/>
    <w:rsid w:val="00502460"/>
    <w:rsid w:val="00502D0E"/>
    <w:rsid w:val="00503F1A"/>
    <w:rsid w:val="00505070"/>
    <w:rsid w:val="005059AD"/>
    <w:rsid w:val="00506568"/>
    <w:rsid w:val="00510AEF"/>
    <w:rsid w:val="0051551B"/>
    <w:rsid w:val="0051574A"/>
    <w:rsid w:val="00520C57"/>
    <w:rsid w:val="005222F4"/>
    <w:rsid w:val="00522D94"/>
    <w:rsid w:val="00524A6E"/>
    <w:rsid w:val="00530A46"/>
    <w:rsid w:val="0053154B"/>
    <w:rsid w:val="00531A6D"/>
    <w:rsid w:val="00532776"/>
    <w:rsid w:val="00533D2F"/>
    <w:rsid w:val="00533D89"/>
    <w:rsid w:val="00534252"/>
    <w:rsid w:val="00536564"/>
    <w:rsid w:val="0054061C"/>
    <w:rsid w:val="005434C1"/>
    <w:rsid w:val="00544597"/>
    <w:rsid w:val="00544FFE"/>
    <w:rsid w:val="005473F5"/>
    <w:rsid w:val="005477E7"/>
    <w:rsid w:val="00552794"/>
    <w:rsid w:val="005530E8"/>
    <w:rsid w:val="00556255"/>
    <w:rsid w:val="005565E5"/>
    <w:rsid w:val="0056097D"/>
    <w:rsid w:val="00561EF2"/>
    <w:rsid w:val="00563199"/>
    <w:rsid w:val="00563563"/>
    <w:rsid w:val="00563C7A"/>
    <w:rsid w:val="00564874"/>
    <w:rsid w:val="00567963"/>
    <w:rsid w:val="0057009A"/>
    <w:rsid w:val="00571260"/>
    <w:rsid w:val="00571440"/>
    <w:rsid w:val="0057189C"/>
    <w:rsid w:val="00573FC1"/>
    <w:rsid w:val="005741EE"/>
    <w:rsid w:val="0057668E"/>
    <w:rsid w:val="00581225"/>
    <w:rsid w:val="00582BE8"/>
    <w:rsid w:val="00582F0C"/>
    <w:rsid w:val="00584A53"/>
    <w:rsid w:val="00584C4C"/>
    <w:rsid w:val="005856A1"/>
    <w:rsid w:val="0058676C"/>
    <w:rsid w:val="005906E8"/>
    <w:rsid w:val="005921C4"/>
    <w:rsid w:val="005934B2"/>
    <w:rsid w:val="00593C5F"/>
    <w:rsid w:val="005948C9"/>
    <w:rsid w:val="00595E83"/>
    <w:rsid w:val="00596530"/>
    <w:rsid w:val="005967F3"/>
    <w:rsid w:val="00596A38"/>
    <w:rsid w:val="005A06DF"/>
    <w:rsid w:val="005A1ACF"/>
    <w:rsid w:val="005A4CAD"/>
    <w:rsid w:val="005A5527"/>
    <w:rsid w:val="005A5AE6"/>
    <w:rsid w:val="005A6851"/>
    <w:rsid w:val="005B06ED"/>
    <w:rsid w:val="005B11DC"/>
    <w:rsid w:val="005B1206"/>
    <w:rsid w:val="005B37E8"/>
    <w:rsid w:val="005B3FE2"/>
    <w:rsid w:val="005B4DCC"/>
    <w:rsid w:val="005C0056"/>
    <w:rsid w:val="005C091A"/>
    <w:rsid w:val="005C12C1"/>
    <w:rsid w:val="005C1646"/>
    <w:rsid w:val="005C1C58"/>
    <w:rsid w:val="005C3ECD"/>
    <w:rsid w:val="005C471E"/>
    <w:rsid w:val="005C5819"/>
    <w:rsid w:val="005C6AA1"/>
    <w:rsid w:val="005D0595"/>
    <w:rsid w:val="005D3009"/>
    <w:rsid w:val="005D347A"/>
    <w:rsid w:val="005D61D6"/>
    <w:rsid w:val="005D6CFA"/>
    <w:rsid w:val="005E0D13"/>
    <w:rsid w:val="005E1804"/>
    <w:rsid w:val="005E3B6C"/>
    <w:rsid w:val="005E42C3"/>
    <w:rsid w:val="005E5047"/>
    <w:rsid w:val="005E5A5F"/>
    <w:rsid w:val="005E7205"/>
    <w:rsid w:val="005E7371"/>
    <w:rsid w:val="005E78B5"/>
    <w:rsid w:val="005F116C"/>
    <w:rsid w:val="005F2131"/>
    <w:rsid w:val="005F3060"/>
    <w:rsid w:val="005F5645"/>
    <w:rsid w:val="005F720C"/>
    <w:rsid w:val="005F7C8D"/>
    <w:rsid w:val="00602203"/>
    <w:rsid w:val="006029AD"/>
    <w:rsid w:val="00603724"/>
    <w:rsid w:val="00603AD5"/>
    <w:rsid w:val="00604557"/>
    <w:rsid w:val="00605EF6"/>
    <w:rsid w:val="00605FB5"/>
    <w:rsid w:val="00606455"/>
    <w:rsid w:val="0060795B"/>
    <w:rsid w:val="00607DC6"/>
    <w:rsid w:val="006106FF"/>
    <w:rsid w:val="00611603"/>
    <w:rsid w:val="00614929"/>
    <w:rsid w:val="006151CA"/>
    <w:rsid w:val="00616511"/>
    <w:rsid w:val="006176ED"/>
    <w:rsid w:val="006202F3"/>
    <w:rsid w:val="0062097A"/>
    <w:rsid w:val="00621DA6"/>
    <w:rsid w:val="006238CB"/>
    <w:rsid w:val="00623CFE"/>
    <w:rsid w:val="00624241"/>
    <w:rsid w:val="0062434A"/>
    <w:rsid w:val="00624397"/>
    <w:rsid w:val="0062498E"/>
    <w:rsid w:val="00627221"/>
    <w:rsid w:val="00627EE8"/>
    <w:rsid w:val="006310A3"/>
    <w:rsid w:val="006316FA"/>
    <w:rsid w:val="006346F7"/>
    <w:rsid w:val="0063548E"/>
    <w:rsid w:val="006370D2"/>
    <w:rsid w:val="00637510"/>
    <w:rsid w:val="0064074F"/>
    <w:rsid w:val="00641F55"/>
    <w:rsid w:val="00642726"/>
    <w:rsid w:val="00645B67"/>
    <w:rsid w:val="00645E4A"/>
    <w:rsid w:val="00653688"/>
    <w:rsid w:val="00653E14"/>
    <w:rsid w:val="006568FF"/>
    <w:rsid w:val="006570EE"/>
    <w:rsid w:val="00657732"/>
    <w:rsid w:val="0066091B"/>
    <w:rsid w:val="006623E2"/>
    <w:rsid w:val="00664A47"/>
    <w:rsid w:val="006660E9"/>
    <w:rsid w:val="006661A5"/>
    <w:rsid w:val="00666E76"/>
    <w:rsid w:val="00667249"/>
    <w:rsid w:val="00667558"/>
    <w:rsid w:val="00671523"/>
    <w:rsid w:val="006754EF"/>
    <w:rsid w:val="00676263"/>
    <w:rsid w:val="00676C8D"/>
    <w:rsid w:val="00676F1F"/>
    <w:rsid w:val="00677381"/>
    <w:rsid w:val="00677414"/>
    <w:rsid w:val="006832CF"/>
    <w:rsid w:val="0068601E"/>
    <w:rsid w:val="0069086B"/>
    <w:rsid w:val="00693163"/>
    <w:rsid w:val="0069486B"/>
    <w:rsid w:val="0069749E"/>
    <w:rsid w:val="00697F89"/>
    <w:rsid w:val="006A240A"/>
    <w:rsid w:val="006A3509"/>
    <w:rsid w:val="006A4904"/>
    <w:rsid w:val="006A548F"/>
    <w:rsid w:val="006A701A"/>
    <w:rsid w:val="006B176D"/>
    <w:rsid w:val="006B2D40"/>
    <w:rsid w:val="006B3AC3"/>
    <w:rsid w:val="006B64DC"/>
    <w:rsid w:val="006B7A91"/>
    <w:rsid w:val="006B7AB1"/>
    <w:rsid w:val="006C4A16"/>
    <w:rsid w:val="006C7505"/>
    <w:rsid w:val="006D0A31"/>
    <w:rsid w:val="006D2E0C"/>
    <w:rsid w:val="006D3230"/>
    <w:rsid w:val="006D4704"/>
    <w:rsid w:val="006D4DAB"/>
    <w:rsid w:val="006D6A2D"/>
    <w:rsid w:val="006E1E18"/>
    <w:rsid w:val="006E208C"/>
    <w:rsid w:val="006E22C3"/>
    <w:rsid w:val="006E28AB"/>
    <w:rsid w:val="006E31CE"/>
    <w:rsid w:val="006E34D3"/>
    <w:rsid w:val="006E486B"/>
    <w:rsid w:val="006F1435"/>
    <w:rsid w:val="006F78C4"/>
    <w:rsid w:val="006F7A2A"/>
    <w:rsid w:val="00701BC9"/>
    <w:rsid w:val="00701C8C"/>
    <w:rsid w:val="007031A0"/>
    <w:rsid w:val="00703431"/>
    <w:rsid w:val="007054B2"/>
    <w:rsid w:val="00705A29"/>
    <w:rsid w:val="00707498"/>
    <w:rsid w:val="00711382"/>
    <w:rsid w:val="00711A65"/>
    <w:rsid w:val="00714133"/>
    <w:rsid w:val="00714DA4"/>
    <w:rsid w:val="007158B2"/>
    <w:rsid w:val="00716081"/>
    <w:rsid w:val="007164A7"/>
    <w:rsid w:val="0071743F"/>
    <w:rsid w:val="00721B35"/>
    <w:rsid w:val="00722B48"/>
    <w:rsid w:val="00723C26"/>
    <w:rsid w:val="00724164"/>
    <w:rsid w:val="00725DE7"/>
    <w:rsid w:val="0072636A"/>
    <w:rsid w:val="00726B44"/>
    <w:rsid w:val="0073070E"/>
    <w:rsid w:val="007318DD"/>
    <w:rsid w:val="00733167"/>
    <w:rsid w:val="00733467"/>
    <w:rsid w:val="0073454E"/>
    <w:rsid w:val="00736FFC"/>
    <w:rsid w:val="0074043E"/>
    <w:rsid w:val="00740D2C"/>
    <w:rsid w:val="00741F27"/>
    <w:rsid w:val="00744BF9"/>
    <w:rsid w:val="0074752A"/>
    <w:rsid w:val="00750CA7"/>
    <w:rsid w:val="00751478"/>
    <w:rsid w:val="00752623"/>
    <w:rsid w:val="0075799A"/>
    <w:rsid w:val="00760F1F"/>
    <w:rsid w:val="00761510"/>
    <w:rsid w:val="00762BD6"/>
    <w:rsid w:val="0076309F"/>
    <w:rsid w:val="0076423E"/>
    <w:rsid w:val="007646CB"/>
    <w:rsid w:val="0076658F"/>
    <w:rsid w:val="007703A9"/>
    <w:rsid w:val="0077040A"/>
    <w:rsid w:val="0077189B"/>
    <w:rsid w:val="00772D64"/>
    <w:rsid w:val="00773539"/>
    <w:rsid w:val="00773F37"/>
    <w:rsid w:val="007745C3"/>
    <w:rsid w:val="00776300"/>
    <w:rsid w:val="00776DD4"/>
    <w:rsid w:val="0078628A"/>
    <w:rsid w:val="00792609"/>
    <w:rsid w:val="00792887"/>
    <w:rsid w:val="007932CE"/>
    <w:rsid w:val="00793BA2"/>
    <w:rsid w:val="007943E2"/>
    <w:rsid w:val="00794F2C"/>
    <w:rsid w:val="007973BB"/>
    <w:rsid w:val="0079792F"/>
    <w:rsid w:val="007A2AE0"/>
    <w:rsid w:val="007A2DDB"/>
    <w:rsid w:val="007A3BC7"/>
    <w:rsid w:val="007A49FB"/>
    <w:rsid w:val="007A4B73"/>
    <w:rsid w:val="007A5AC4"/>
    <w:rsid w:val="007A714B"/>
    <w:rsid w:val="007A7BD9"/>
    <w:rsid w:val="007B0FDD"/>
    <w:rsid w:val="007B16A0"/>
    <w:rsid w:val="007B4802"/>
    <w:rsid w:val="007B6668"/>
    <w:rsid w:val="007B6B33"/>
    <w:rsid w:val="007C028E"/>
    <w:rsid w:val="007C0292"/>
    <w:rsid w:val="007C0644"/>
    <w:rsid w:val="007C1E98"/>
    <w:rsid w:val="007C2701"/>
    <w:rsid w:val="007C3B6C"/>
    <w:rsid w:val="007C4D3D"/>
    <w:rsid w:val="007C546D"/>
    <w:rsid w:val="007D03E9"/>
    <w:rsid w:val="007D0831"/>
    <w:rsid w:val="007D1161"/>
    <w:rsid w:val="007D2192"/>
    <w:rsid w:val="007D3DAE"/>
    <w:rsid w:val="007D50CC"/>
    <w:rsid w:val="007D5D88"/>
    <w:rsid w:val="007D619B"/>
    <w:rsid w:val="007D7658"/>
    <w:rsid w:val="007E1599"/>
    <w:rsid w:val="007E3AA4"/>
    <w:rsid w:val="007E48F7"/>
    <w:rsid w:val="007E4FB2"/>
    <w:rsid w:val="007E5739"/>
    <w:rsid w:val="007E58BA"/>
    <w:rsid w:val="007F0021"/>
    <w:rsid w:val="007F009C"/>
    <w:rsid w:val="007F1589"/>
    <w:rsid w:val="007F2F52"/>
    <w:rsid w:val="007F4C6E"/>
    <w:rsid w:val="008018CB"/>
    <w:rsid w:val="00801F71"/>
    <w:rsid w:val="00803938"/>
    <w:rsid w:val="008052AE"/>
    <w:rsid w:val="0080591C"/>
    <w:rsid w:val="00805F28"/>
    <w:rsid w:val="00807105"/>
    <w:rsid w:val="0080749F"/>
    <w:rsid w:val="0081024F"/>
    <w:rsid w:val="00810F19"/>
    <w:rsid w:val="008114FA"/>
    <w:rsid w:val="008115C2"/>
    <w:rsid w:val="00811D46"/>
    <w:rsid w:val="00812197"/>
    <w:rsid w:val="008125B0"/>
    <w:rsid w:val="00812E39"/>
    <w:rsid w:val="008144CB"/>
    <w:rsid w:val="00817B9E"/>
    <w:rsid w:val="00820BC9"/>
    <w:rsid w:val="00821717"/>
    <w:rsid w:val="00821F40"/>
    <w:rsid w:val="00822028"/>
    <w:rsid w:val="00824210"/>
    <w:rsid w:val="00825B5D"/>
    <w:rsid w:val="008263C0"/>
    <w:rsid w:val="00830940"/>
    <w:rsid w:val="00830DFD"/>
    <w:rsid w:val="00831661"/>
    <w:rsid w:val="00832634"/>
    <w:rsid w:val="00832D89"/>
    <w:rsid w:val="00841422"/>
    <w:rsid w:val="008416FD"/>
    <w:rsid w:val="00841D3B"/>
    <w:rsid w:val="0084314C"/>
    <w:rsid w:val="00843171"/>
    <w:rsid w:val="008437EA"/>
    <w:rsid w:val="008440C2"/>
    <w:rsid w:val="00846B68"/>
    <w:rsid w:val="00851D30"/>
    <w:rsid w:val="008575C3"/>
    <w:rsid w:val="0086083B"/>
    <w:rsid w:val="00862DB3"/>
    <w:rsid w:val="008634AF"/>
    <w:rsid w:val="00863D28"/>
    <w:rsid w:val="008644B9"/>
    <w:rsid w:val="008648C3"/>
    <w:rsid w:val="00864BAF"/>
    <w:rsid w:val="008722C1"/>
    <w:rsid w:val="008726F6"/>
    <w:rsid w:val="0087373B"/>
    <w:rsid w:val="00880F26"/>
    <w:rsid w:val="00885025"/>
    <w:rsid w:val="00885411"/>
    <w:rsid w:val="00890899"/>
    <w:rsid w:val="00893C20"/>
    <w:rsid w:val="00894108"/>
    <w:rsid w:val="00896C2E"/>
    <w:rsid w:val="008A5095"/>
    <w:rsid w:val="008A608F"/>
    <w:rsid w:val="008A6119"/>
    <w:rsid w:val="008B1A9A"/>
    <w:rsid w:val="008B4FE6"/>
    <w:rsid w:val="008B6B3A"/>
    <w:rsid w:val="008B6C37"/>
    <w:rsid w:val="008C6E34"/>
    <w:rsid w:val="008C75A9"/>
    <w:rsid w:val="008C7690"/>
    <w:rsid w:val="008D2D32"/>
    <w:rsid w:val="008D424A"/>
    <w:rsid w:val="008D5750"/>
    <w:rsid w:val="008D6B3E"/>
    <w:rsid w:val="008E02E0"/>
    <w:rsid w:val="008E18F7"/>
    <w:rsid w:val="008E1A9B"/>
    <w:rsid w:val="008E1E10"/>
    <w:rsid w:val="008E291B"/>
    <w:rsid w:val="008E318A"/>
    <w:rsid w:val="008E4E06"/>
    <w:rsid w:val="008E4F2F"/>
    <w:rsid w:val="008E5CEA"/>
    <w:rsid w:val="008E6C65"/>
    <w:rsid w:val="008E74B0"/>
    <w:rsid w:val="008F036B"/>
    <w:rsid w:val="008F29B4"/>
    <w:rsid w:val="008F4A24"/>
    <w:rsid w:val="008F5886"/>
    <w:rsid w:val="008F6F21"/>
    <w:rsid w:val="009008A8"/>
    <w:rsid w:val="009036B8"/>
    <w:rsid w:val="00905266"/>
    <w:rsid w:val="009061B6"/>
    <w:rsid w:val="009063B0"/>
    <w:rsid w:val="00907106"/>
    <w:rsid w:val="009107FD"/>
    <w:rsid w:val="0091137C"/>
    <w:rsid w:val="00911567"/>
    <w:rsid w:val="00912A40"/>
    <w:rsid w:val="00912B44"/>
    <w:rsid w:val="00913BDA"/>
    <w:rsid w:val="0091580C"/>
    <w:rsid w:val="00917AAE"/>
    <w:rsid w:val="00921A5D"/>
    <w:rsid w:val="009223D9"/>
    <w:rsid w:val="009232CC"/>
    <w:rsid w:val="009237A2"/>
    <w:rsid w:val="00924427"/>
    <w:rsid w:val="009251A9"/>
    <w:rsid w:val="00930699"/>
    <w:rsid w:val="00930752"/>
    <w:rsid w:val="00931F69"/>
    <w:rsid w:val="00934123"/>
    <w:rsid w:val="00934412"/>
    <w:rsid w:val="00940B52"/>
    <w:rsid w:val="009429B2"/>
    <w:rsid w:val="00944B96"/>
    <w:rsid w:val="00947955"/>
    <w:rsid w:val="0095416A"/>
    <w:rsid w:val="00955774"/>
    <w:rsid w:val="009560B5"/>
    <w:rsid w:val="009566A6"/>
    <w:rsid w:val="00962445"/>
    <w:rsid w:val="009626A3"/>
    <w:rsid w:val="00963D8B"/>
    <w:rsid w:val="0096477E"/>
    <w:rsid w:val="00964905"/>
    <w:rsid w:val="009658E4"/>
    <w:rsid w:val="00965E4A"/>
    <w:rsid w:val="0096645C"/>
    <w:rsid w:val="009703D6"/>
    <w:rsid w:val="0097181B"/>
    <w:rsid w:val="00971934"/>
    <w:rsid w:val="00974F77"/>
    <w:rsid w:val="00976226"/>
    <w:rsid w:val="00976DC5"/>
    <w:rsid w:val="009770C8"/>
    <w:rsid w:val="00977433"/>
    <w:rsid w:val="009811D9"/>
    <w:rsid w:val="009818C7"/>
    <w:rsid w:val="00982B5A"/>
    <w:rsid w:val="00982DD4"/>
    <w:rsid w:val="009838BF"/>
    <w:rsid w:val="009841E5"/>
    <w:rsid w:val="0098479F"/>
    <w:rsid w:val="00984A8A"/>
    <w:rsid w:val="009857B6"/>
    <w:rsid w:val="00985A8D"/>
    <w:rsid w:val="00986610"/>
    <w:rsid w:val="00986F54"/>
    <w:rsid w:val="009877DC"/>
    <w:rsid w:val="0099024C"/>
    <w:rsid w:val="0099055D"/>
    <w:rsid w:val="00991F96"/>
    <w:rsid w:val="00993107"/>
    <w:rsid w:val="0099337B"/>
    <w:rsid w:val="009966EE"/>
    <w:rsid w:val="00996F0A"/>
    <w:rsid w:val="009A0D62"/>
    <w:rsid w:val="009A11A6"/>
    <w:rsid w:val="009A1D86"/>
    <w:rsid w:val="009A28B9"/>
    <w:rsid w:val="009A5179"/>
    <w:rsid w:val="009A6553"/>
    <w:rsid w:val="009B049C"/>
    <w:rsid w:val="009B11C8"/>
    <w:rsid w:val="009B2BCF"/>
    <w:rsid w:val="009B2FF8"/>
    <w:rsid w:val="009B349B"/>
    <w:rsid w:val="009B5BA3"/>
    <w:rsid w:val="009B788D"/>
    <w:rsid w:val="009C12FC"/>
    <w:rsid w:val="009C6D35"/>
    <w:rsid w:val="009D0027"/>
    <w:rsid w:val="009D0655"/>
    <w:rsid w:val="009D1E3D"/>
    <w:rsid w:val="009E1E98"/>
    <w:rsid w:val="009E28D5"/>
    <w:rsid w:val="009E3ABE"/>
    <w:rsid w:val="009E3C4B"/>
    <w:rsid w:val="009E7CA8"/>
    <w:rsid w:val="009F0637"/>
    <w:rsid w:val="009F10F8"/>
    <w:rsid w:val="009F144C"/>
    <w:rsid w:val="009F1CAC"/>
    <w:rsid w:val="009F281E"/>
    <w:rsid w:val="009F2A51"/>
    <w:rsid w:val="009F3BAC"/>
    <w:rsid w:val="009F62A6"/>
    <w:rsid w:val="009F674F"/>
    <w:rsid w:val="009F799E"/>
    <w:rsid w:val="00A02020"/>
    <w:rsid w:val="00A04BCF"/>
    <w:rsid w:val="00A04C0C"/>
    <w:rsid w:val="00A056CB"/>
    <w:rsid w:val="00A0746D"/>
    <w:rsid w:val="00A07A29"/>
    <w:rsid w:val="00A10FF1"/>
    <w:rsid w:val="00A113E6"/>
    <w:rsid w:val="00A13293"/>
    <w:rsid w:val="00A1506B"/>
    <w:rsid w:val="00A17B1C"/>
    <w:rsid w:val="00A17CB2"/>
    <w:rsid w:val="00A20E45"/>
    <w:rsid w:val="00A23191"/>
    <w:rsid w:val="00A319C0"/>
    <w:rsid w:val="00A31CC8"/>
    <w:rsid w:val="00A33560"/>
    <w:rsid w:val="00A35C7A"/>
    <w:rsid w:val="00A364E4"/>
    <w:rsid w:val="00A371A5"/>
    <w:rsid w:val="00A37F14"/>
    <w:rsid w:val="00A47202"/>
    <w:rsid w:val="00A47BDF"/>
    <w:rsid w:val="00A51CD7"/>
    <w:rsid w:val="00A52ADB"/>
    <w:rsid w:val="00A533E8"/>
    <w:rsid w:val="00A542D9"/>
    <w:rsid w:val="00A552DA"/>
    <w:rsid w:val="00A56E64"/>
    <w:rsid w:val="00A624C3"/>
    <w:rsid w:val="00A62919"/>
    <w:rsid w:val="00A63BA5"/>
    <w:rsid w:val="00A6641C"/>
    <w:rsid w:val="00A7238C"/>
    <w:rsid w:val="00A755E4"/>
    <w:rsid w:val="00A75677"/>
    <w:rsid w:val="00A767D2"/>
    <w:rsid w:val="00A77616"/>
    <w:rsid w:val="00A77797"/>
    <w:rsid w:val="00A805DA"/>
    <w:rsid w:val="00A809FA"/>
    <w:rsid w:val="00A80EF9"/>
    <w:rsid w:val="00A811B4"/>
    <w:rsid w:val="00A82C99"/>
    <w:rsid w:val="00A8338B"/>
    <w:rsid w:val="00A87CDE"/>
    <w:rsid w:val="00A9111E"/>
    <w:rsid w:val="00A92BAF"/>
    <w:rsid w:val="00A94737"/>
    <w:rsid w:val="00A94BA3"/>
    <w:rsid w:val="00A96CBA"/>
    <w:rsid w:val="00A976FC"/>
    <w:rsid w:val="00A97ABA"/>
    <w:rsid w:val="00AA0C21"/>
    <w:rsid w:val="00AA14F5"/>
    <w:rsid w:val="00AA24A6"/>
    <w:rsid w:val="00AA2633"/>
    <w:rsid w:val="00AA4F15"/>
    <w:rsid w:val="00AB1ACD"/>
    <w:rsid w:val="00AB1D71"/>
    <w:rsid w:val="00AB2595"/>
    <w:rsid w:val="00AB277F"/>
    <w:rsid w:val="00AB4099"/>
    <w:rsid w:val="00AB449A"/>
    <w:rsid w:val="00AB4894"/>
    <w:rsid w:val="00AB62E9"/>
    <w:rsid w:val="00AC258D"/>
    <w:rsid w:val="00AC724D"/>
    <w:rsid w:val="00AC73B2"/>
    <w:rsid w:val="00AC7F3D"/>
    <w:rsid w:val="00AD0D65"/>
    <w:rsid w:val="00AD14F9"/>
    <w:rsid w:val="00AD35D6"/>
    <w:rsid w:val="00AD4066"/>
    <w:rsid w:val="00AD58C5"/>
    <w:rsid w:val="00AD72F5"/>
    <w:rsid w:val="00AD74DE"/>
    <w:rsid w:val="00AE02FA"/>
    <w:rsid w:val="00AE067F"/>
    <w:rsid w:val="00AE36C4"/>
    <w:rsid w:val="00AE472C"/>
    <w:rsid w:val="00AE4FA8"/>
    <w:rsid w:val="00AE5375"/>
    <w:rsid w:val="00AE6CF8"/>
    <w:rsid w:val="00AF0207"/>
    <w:rsid w:val="00AF067D"/>
    <w:rsid w:val="00AF2456"/>
    <w:rsid w:val="00AF320C"/>
    <w:rsid w:val="00AF3495"/>
    <w:rsid w:val="00AF4CAC"/>
    <w:rsid w:val="00AF580D"/>
    <w:rsid w:val="00AF6C1A"/>
    <w:rsid w:val="00B00112"/>
    <w:rsid w:val="00B024D2"/>
    <w:rsid w:val="00B03E0D"/>
    <w:rsid w:val="00B054F8"/>
    <w:rsid w:val="00B130D2"/>
    <w:rsid w:val="00B169AC"/>
    <w:rsid w:val="00B17510"/>
    <w:rsid w:val="00B20301"/>
    <w:rsid w:val="00B2219A"/>
    <w:rsid w:val="00B23380"/>
    <w:rsid w:val="00B267B1"/>
    <w:rsid w:val="00B311C4"/>
    <w:rsid w:val="00B33E40"/>
    <w:rsid w:val="00B3581B"/>
    <w:rsid w:val="00B36B81"/>
    <w:rsid w:val="00B36FEE"/>
    <w:rsid w:val="00B37C80"/>
    <w:rsid w:val="00B4026C"/>
    <w:rsid w:val="00B4329F"/>
    <w:rsid w:val="00B45194"/>
    <w:rsid w:val="00B456BC"/>
    <w:rsid w:val="00B45CE4"/>
    <w:rsid w:val="00B45D00"/>
    <w:rsid w:val="00B47D31"/>
    <w:rsid w:val="00B5092B"/>
    <w:rsid w:val="00B5194E"/>
    <w:rsid w:val="00B51AF5"/>
    <w:rsid w:val="00B52549"/>
    <w:rsid w:val="00B52CCA"/>
    <w:rsid w:val="00B531FC"/>
    <w:rsid w:val="00B55347"/>
    <w:rsid w:val="00B57E5E"/>
    <w:rsid w:val="00B61F37"/>
    <w:rsid w:val="00B6468D"/>
    <w:rsid w:val="00B65977"/>
    <w:rsid w:val="00B67209"/>
    <w:rsid w:val="00B702F0"/>
    <w:rsid w:val="00B734F2"/>
    <w:rsid w:val="00B7770F"/>
    <w:rsid w:val="00B77A89"/>
    <w:rsid w:val="00B77B27"/>
    <w:rsid w:val="00B80555"/>
    <w:rsid w:val="00B8134E"/>
    <w:rsid w:val="00B814F4"/>
    <w:rsid w:val="00B81B55"/>
    <w:rsid w:val="00B83F39"/>
    <w:rsid w:val="00B84613"/>
    <w:rsid w:val="00B85C12"/>
    <w:rsid w:val="00B87AF0"/>
    <w:rsid w:val="00B9037B"/>
    <w:rsid w:val="00B90B16"/>
    <w:rsid w:val="00B910BD"/>
    <w:rsid w:val="00B93834"/>
    <w:rsid w:val="00B96469"/>
    <w:rsid w:val="00BA0DA2"/>
    <w:rsid w:val="00BA2981"/>
    <w:rsid w:val="00BA29D4"/>
    <w:rsid w:val="00BA3E52"/>
    <w:rsid w:val="00BA4174"/>
    <w:rsid w:val="00BA42EE"/>
    <w:rsid w:val="00BA48F9"/>
    <w:rsid w:val="00BA58AF"/>
    <w:rsid w:val="00BA622F"/>
    <w:rsid w:val="00BB0DCA"/>
    <w:rsid w:val="00BB2234"/>
    <w:rsid w:val="00BB22AA"/>
    <w:rsid w:val="00BB2666"/>
    <w:rsid w:val="00BB2BE3"/>
    <w:rsid w:val="00BB4956"/>
    <w:rsid w:val="00BB4F78"/>
    <w:rsid w:val="00BB5741"/>
    <w:rsid w:val="00BB597A"/>
    <w:rsid w:val="00BB6B80"/>
    <w:rsid w:val="00BC0589"/>
    <w:rsid w:val="00BC1E76"/>
    <w:rsid w:val="00BC3773"/>
    <w:rsid w:val="00BC381A"/>
    <w:rsid w:val="00BC6A89"/>
    <w:rsid w:val="00BD0962"/>
    <w:rsid w:val="00BD1EED"/>
    <w:rsid w:val="00BD6CA9"/>
    <w:rsid w:val="00BD7070"/>
    <w:rsid w:val="00BD7A6D"/>
    <w:rsid w:val="00BE2EFB"/>
    <w:rsid w:val="00BE3248"/>
    <w:rsid w:val="00BE5B3F"/>
    <w:rsid w:val="00BE5D73"/>
    <w:rsid w:val="00BF03E6"/>
    <w:rsid w:val="00BF0DA2"/>
    <w:rsid w:val="00BF0FEF"/>
    <w:rsid w:val="00BF109C"/>
    <w:rsid w:val="00BF1563"/>
    <w:rsid w:val="00BF2609"/>
    <w:rsid w:val="00BF34FA"/>
    <w:rsid w:val="00BF36A0"/>
    <w:rsid w:val="00BF6387"/>
    <w:rsid w:val="00C004B6"/>
    <w:rsid w:val="00C008AC"/>
    <w:rsid w:val="00C00EA5"/>
    <w:rsid w:val="00C010AC"/>
    <w:rsid w:val="00C015E4"/>
    <w:rsid w:val="00C02E5D"/>
    <w:rsid w:val="00C0340D"/>
    <w:rsid w:val="00C03D63"/>
    <w:rsid w:val="00C046FE"/>
    <w:rsid w:val="00C047A7"/>
    <w:rsid w:val="00C05DE5"/>
    <w:rsid w:val="00C0732C"/>
    <w:rsid w:val="00C106D7"/>
    <w:rsid w:val="00C10E9A"/>
    <w:rsid w:val="00C122A8"/>
    <w:rsid w:val="00C141D4"/>
    <w:rsid w:val="00C14BAA"/>
    <w:rsid w:val="00C15E8C"/>
    <w:rsid w:val="00C21638"/>
    <w:rsid w:val="00C32BBF"/>
    <w:rsid w:val="00C33027"/>
    <w:rsid w:val="00C37667"/>
    <w:rsid w:val="00C435DB"/>
    <w:rsid w:val="00C440F0"/>
    <w:rsid w:val="00C446B2"/>
    <w:rsid w:val="00C44D73"/>
    <w:rsid w:val="00C45F6D"/>
    <w:rsid w:val="00C50B42"/>
    <w:rsid w:val="00C516FF"/>
    <w:rsid w:val="00C52BFA"/>
    <w:rsid w:val="00C53D1D"/>
    <w:rsid w:val="00C53F26"/>
    <w:rsid w:val="00C540BC"/>
    <w:rsid w:val="00C543F4"/>
    <w:rsid w:val="00C6097D"/>
    <w:rsid w:val="00C6121B"/>
    <w:rsid w:val="00C6127C"/>
    <w:rsid w:val="00C621E5"/>
    <w:rsid w:val="00C63C96"/>
    <w:rsid w:val="00C64F7D"/>
    <w:rsid w:val="00C67309"/>
    <w:rsid w:val="00C71A3E"/>
    <w:rsid w:val="00C7237A"/>
    <w:rsid w:val="00C73EE8"/>
    <w:rsid w:val="00C75619"/>
    <w:rsid w:val="00C7599F"/>
    <w:rsid w:val="00C7614E"/>
    <w:rsid w:val="00C765BA"/>
    <w:rsid w:val="00C77BF1"/>
    <w:rsid w:val="00C80D60"/>
    <w:rsid w:val="00C8218B"/>
    <w:rsid w:val="00C82FBD"/>
    <w:rsid w:val="00C83F99"/>
    <w:rsid w:val="00C85267"/>
    <w:rsid w:val="00C8721B"/>
    <w:rsid w:val="00C90FCE"/>
    <w:rsid w:val="00C91490"/>
    <w:rsid w:val="00C9372C"/>
    <w:rsid w:val="00C9470E"/>
    <w:rsid w:val="00C94C95"/>
    <w:rsid w:val="00C95756"/>
    <w:rsid w:val="00C95CEB"/>
    <w:rsid w:val="00CA1054"/>
    <w:rsid w:val="00CA462D"/>
    <w:rsid w:val="00CA5325"/>
    <w:rsid w:val="00CA58C3"/>
    <w:rsid w:val="00CA5E58"/>
    <w:rsid w:val="00CA63EB"/>
    <w:rsid w:val="00CA68CF"/>
    <w:rsid w:val="00CA69F1"/>
    <w:rsid w:val="00CB030A"/>
    <w:rsid w:val="00CB28FD"/>
    <w:rsid w:val="00CB41E8"/>
    <w:rsid w:val="00CB55ED"/>
    <w:rsid w:val="00CB64B7"/>
    <w:rsid w:val="00CB6991"/>
    <w:rsid w:val="00CB708A"/>
    <w:rsid w:val="00CB7E40"/>
    <w:rsid w:val="00CC1B86"/>
    <w:rsid w:val="00CC6194"/>
    <w:rsid w:val="00CC6305"/>
    <w:rsid w:val="00CC78A5"/>
    <w:rsid w:val="00CD0516"/>
    <w:rsid w:val="00CD0B57"/>
    <w:rsid w:val="00CD15BC"/>
    <w:rsid w:val="00CD15EC"/>
    <w:rsid w:val="00CD185D"/>
    <w:rsid w:val="00CD3625"/>
    <w:rsid w:val="00CD458A"/>
    <w:rsid w:val="00CD6572"/>
    <w:rsid w:val="00CD756B"/>
    <w:rsid w:val="00CE734F"/>
    <w:rsid w:val="00CF0AA1"/>
    <w:rsid w:val="00CF112E"/>
    <w:rsid w:val="00CF153B"/>
    <w:rsid w:val="00CF2E9D"/>
    <w:rsid w:val="00CF3F6B"/>
    <w:rsid w:val="00CF5843"/>
    <w:rsid w:val="00CF5F4F"/>
    <w:rsid w:val="00D0301D"/>
    <w:rsid w:val="00D043A5"/>
    <w:rsid w:val="00D0520D"/>
    <w:rsid w:val="00D118FC"/>
    <w:rsid w:val="00D11935"/>
    <w:rsid w:val="00D14710"/>
    <w:rsid w:val="00D15EA2"/>
    <w:rsid w:val="00D160E8"/>
    <w:rsid w:val="00D20756"/>
    <w:rsid w:val="00D218DC"/>
    <w:rsid w:val="00D24E56"/>
    <w:rsid w:val="00D256D3"/>
    <w:rsid w:val="00D26400"/>
    <w:rsid w:val="00D31248"/>
    <w:rsid w:val="00D31643"/>
    <w:rsid w:val="00D31AEB"/>
    <w:rsid w:val="00D3256A"/>
    <w:rsid w:val="00D32ECD"/>
    <w:rsid w:val="00D361E4"/>
    <w:rsid w:val="00D42A8F"/>
    <w:rsid w:val="00D439F6"/>
    <w:rsid w:val="00D44846"/>
    <w:rsid w:val="00D459C6"/>
    <w:rsid w:val="00D5002A"/>
    <w:rsid w:val="00D50729"/>
    <w:rsid w:val="00D50C19"/>
    <w:rsid w:val="00D5262A"/>
    <w:rsid w:val="00D5275F"/>
    <w:rsid w:val="00D529AF"/>
    <w:rsid w:val="00D5379E"/>
    <w:rsid w:val="00D61BEE"/>
    <w:rsid w:val="00D62643"/>
    <w:rsid w:val="00D62C59"/>
    <w:rsid w:val="00D64C0F"/>
    <w:rsid w:val="00D64CEA"/>
    <w:rsid w:val="00D7003D"/>
    <w:rsid w:val="00D72EFE"/>
    <w:rsid w:val="00D76227"/>
    <w:rsid w:val="00D77A16"/>
    <w:rsid w:val="00D77DF1"/>
    <w:rsid w:val="00D802A9"/>
    <w:rsid w:val="00D85D65"/>
    <w:rsid w:val="00D86AFF"/>
    <w:rsid w:val="00D87AC8"/>
    <w:rsid w:val="00D87AF2"/>
    <w:rsid w:val="00D919D0"/>
    <w:rsid w:val="00D940C0"/>
    <w:rsid w:val="00D95A44"/>
    <w:rsid w:val="00D95D16"/>
    <w:rsid w:val="00D95F2E"/>
    <w:rsid w:val="00D97B36"/>
    <w:rsid w:val="00D97C76"/>
    <w:rsid w:val="00DA015F"/>
    <w:rsid w:val="00DA2171"/>
    <w:rsid w:val="00DA589A"/>
    <w:rsid w:val="00DA77F0"/>
    <w:rsid w:val="00DA799F"/>
    <w:rsid w:val="00DB02B4"/>
    <w:rsid w:val="00DB14FA"/>
    <w:rsid w:val="00DB21D9"/>
    <w:rsid w:val="00DB3978"/>
    <w:rsid w:val="00DB3BBB"/>
    <w:rsid w:val="00DB3D81"/>
    <w:rsid w:val="00DB538D"/>
    <w:rsid w:val="00DB5D5E"/>
    <w:rsid w:val="00DC275C"/>
    <w:rsid w:val="00DC4B0D"/>
    <w:rsid w:val="00DC561D"/>
    <w:rsid w:val="00DC6811"/>
    <w:rsid w:val="00DC7FE1"/>
    <w:rsid w:val="00DD0A7B"/>
    <w:rsid w:val="00DD3C34"/>
    <w:rsid w:val="00DD3F3F"/>
    <w:rsid w:val="00DD40A5"/>
    <w:rsid w:val="00DD5572"/>
    <w:rsid w:val="00DD7EBE"/>
    <w:rsid w:val="00DE09D7"/>
    <w:rsid w:val="00DE0D76"/>
    <w:rsid w:val="00DE4550"/>
    <w:rsid w:val="00DE48B0"/>
    <w:rsid w:val="00DE5D80"/>
    <w:rsid w:val="00DE7740"/>
    <w:rsid w:val="00DF2C93"/>
    <w:rsid w:val="00DF58CD"/>
    <w:rsid w:val="00DF65DE"/>
    <w:rsid w:val="00E01537"/>
    <w:rsid w:val="00E019A5"/>
    <w:rsid w:val="00E019A9"/>
    <w:rsid w:val="00E02AAF"/>
    <w:rsid w:val="00E02B67"/>
    <w:rsid w:val="00E02EC8"/>
    <w:rsid w:val="00E037F5"/>
    <w:rsid w:val="00E04585"/>
    <w:rsid w:val="00E04ECB"/>
    <w:rsid w:val="00E05A09"/>
    <w:rsid w:val="00E06CA1"/>
    <w:rsid w:val="00E11C8C"/>
    <w:rsid w:val="00E14254"/>
    <w:rsid w:val="00E1556E"/>
    <w:rsid w:val="00E172B8"/>
    <w:rsid w:val="00E17FB4"/>
    <w:rsid w:val="00E20B75"/>
    <w:rsid w:val="00E214F2"/>
    <w:rsid w:val="00E22B98"/>
    <w:rsid w:val="00E2371E"/>
    <w:rsid w:val="00E2442C"/>
    <w:rsid w:val="00E24BD7"/>
    <w:rsid w:val="00E26523"/>
    <w:rsid w:val="00E26809"/>
    <w:rsid w:val="00E2691B"/>
    <w:rsid w:val="00E3412D"/>
    <w:rsid w:val="00E36510"/>
    <w:rsid w:val="00E36793"/>
    <w:rsid w:val="00E4339A"/>
    <w:rsid w:val="00E43B11"/>
    <w:rsid w:val="00E43C86"/>
    <w:rsid w:val="00E45A8D"/>
    <w:rsid w:val="00E4773B"/>
    <w:rsid w:val="00E47B6A"/>
    <w:rsid w:val="00E503F5"/>
    <w:rsid w:val="00E516E8"/>
    <w:rsid w:val="00E51C7A"/>
    <w:rsid w:val="00E57322"/>
    <w:rsid w:val="00E60207"/>
    <w:rsid w:val="00E61486"/>
    <w:rsid w:val="00E621E4"/>
    <w:rsid w:val="00E628CB"/>
    <w:rsid w:val="00E62AD9"/>
    <w:rsid w:val="00E638C8"/>
    <w:rsid w:val="00E64810"/>
    <w:rsid w:val="00E64C79"/>
    <w:rsid w:val="00E71241"/>
    <w:rsid w:val="00E72582"/>
    <w:rsid w:val="00E74BB0"/>
    <w:rsid w:val="00E7509B"/>
    <w:rsid w:val="00E77C72"/>
    <w:rsid w:val="00E8038E"/>
    <w:rsid w:val="00E8139A"/>
    <w:rsid w:val="00E8291F"/>
    <w:rsid w:val="00E83231"/>
    <w:rsid w:val="00E84EFE"/>
    <w:rsid w:val="00E85379"/>
    <w:rsid w:val="00E86590"/>
    <w:rsid w:val="00E907FF"/>
    <w:rsid w:val="00E91288"/>
    <w:rsid w:val="00E92326"/>
    <w:rsid w:val="00E96BBD"/>
    <w:rsid w:val="00EA040A"/>
    <w:rsid w:val="00EA0EA2"/>
    <w:rsid w:val="00EA248C"/>
    <w:rsid w:val="00EA2CC6"/>
    <w:rsid w:val="00EA42D1"/>
    <w:rsid w:val="00EA42EF"/>
    <w:rsid w:val="00EA4FEB"/>
    <w:rsid w:val="00EA58B0"/>
    <w:rsid w:val="00EA74B2"/>
    <w:rsid w:val="00EB2414"/>
    <w:rsid w:val="00EB2DD1"/>
    <w:rsid w:val="00EB3781"/>
    <w:rsid w:val="00EB6B37"/>
    <w:rsid w:val="00EC0991"/>
    <w:rsid w:val="00EC29FE"/>
    <w:rsid w:val="00EC3C70"/>
    <w:rsid w:val="00EC3F6E"/>
    <w:rsid w:val="00EC4926"/>
    <w:rsid w:val="00EC4E60"/>
    <w:rsid w:val="00ED193A"/>
    <w:rsid w:val="00ED3978"/>
    <w:rsid w:val="00ED3A3D"/>
    <w:rsid w:val="00ED538A"/>
    <w:rsid w:val="00ED6FBC"/>
    <w:rsid w:val="00EE0CF0"/>
    <w:rsid w:val="00EE2C17"/>
    <w:rsid w:val="00EE2F16"/>
    <w:rsid w:val="00EE325E"/>
    <w:rsid w:val="00EE3861"/>
    <w:rsid w:val="00EE3B0A"/>
    <w:rsid w:val="00EE4416"/>
    <w:rsid w:val="00EE646B"/>
    <w:rsid w:val="00EE7100"/>
    <w:rsid w:val="00EF0187"/>
    <w:rsid w:val="00EF2E73"/>
    <w:rsid w:val="00EF3788"/>
    <w:rsid w:val="00EF4B80"/>
    <w:rsid w:val="00EF522D"/>
    <w:rsid w:val="00EF5B0A"/>
    <w:rsid w:val="00EF5E3A"/>
    <w:rsid w:val="00EF7683"/>
    <w:rsid w:val="00EF7A2D"/>
    <w:rsid w:val="00F009FD"/>
    <w:rsid w:val="00F02868"/>
    <w:rsid w:val="00F04F8D"/>
    <w:rsid w:val="00F06113"/>
    <w:rsid w:val="00F0646B"/>
    <w:rsid w:val="00F06C21"/>
    <w:rsid w:val="00F07CE3"/>
    <w:rsid w:val="00F10AD0"/>
    <w:rsid w:val="00F10B6A"/>
    <w:rsid w:val="00F116CC"/>
    <w:rsid w:val="00F12BD1"/>
    <w:rsid w:val="00F133CD"/>
    <w:rsid w:val="00F15327"/>
    <w:rsid w:val="00F168CF"/>
    <w:rsid w:val="00F176F7"/>
    <w:rsid w:val="00F209FB"/>
    <w:rsid w:val="00F21411"/>
    <w:rsid w:val="00F238AC"/>
    <w:rsid w:val="00F252D4"/>
    <w:rsid w:val="00F2555C"/>
    <w:rsid w:val="00F27EF1"/>
    <w:rsid w:val="00F310F4"/>
    <w:rsid w:val="00F31DF3"/>
    <w:rsid w:val="00F33AE5"/>
    <w:rsid w:val="00F34703"/>
    <w:rsid w:val="00F3597D"/>
    <w:rsid w:val="00F35E6A"/>
    <w:rsid w:val="00F372F3"/>
    <w:rsid w:val="00F418B9"/>
    <w:rsid w:val="00F4327E"/>
    <w:rsid w:val="00F4376D"/>
    <w:rsid w:val="00F438C6"/>
    <w:rsid w:val="00F45399"/>
    <w:rsid w:val="00F4548E"/>
    <w:rsid w:val="00F465EA"/>
    <w:rsid w:val="00F5022A"/>
    <w:rsid w:val="00F52252"/>
    <w:rsid w:val="00F526CC"/>
    <w:rsid w:val="00F526F0"/>
    <w:rsid w:val="00F53DE2"/>
    <w:rsid w:val="00F54E7B"/>
    <w:rsid w:val="00F55A88"/>
    <w:rsid w:val="00F569C3"/>
    <w:rsid w:val="00F65357"/>
    <w:rsid w:val="00F674F2"/>
    <w:rsid w:val="00F6777E"/>
    <w:rsid w:val="00F74005"/>
    <w:rsid w:val="00F7495E"/>
    <w:rsid w:val="00F74984"/>
    <w:rsid w:val="00F75997"/>
    <w:rsid w:val="00F76884"/>
    <w:rsid w:val="00F773EC"/>
    <w:rsid w:val="00F81C75"/>
    <w:rsid w:val="00F81C82"/>
    <w:rsid w:val="00F83D24"/>
    <w:rsid w:val="00F83DD9"/>
    <w:rsid w:val="00F83F40"/>
    <w:rsid w:val="00F8524F"/>
    <w:rsid w:val="00F868D2"/>
    <w:rsid w:val="00F92325"/>
    <w:rsid w:val="00F93283"/>
    <w:rsid w:val="00F96238"/>
    <w:rsid w:val="00F97644"/>
    <w:rsid w:val="00F97B94"/>
    <w:rsid w:val="00FA117A"/>
    <w:rsid w:val="00FA34D5"/>
    <w:rsid w:val="00FA5684"/>
    <w:rsid w:val="00FA63AD"/>
    <w:rsid w:val="00FB04EC"/>
    <w:rsid w:val="00FB1630"/>
    <w:rsid w:val="00FB1FF7"/>
    <w:rsid w:val="00FB386A"/>
    <w:rsid w:val="00FB6BD5"/>
    <w:rsid w:val="00FB6D90"/>
    <w:rsid w:val="00FC0786"/>
    <w:rsid w:val="00FC2AD8"/>
    <w:rsid w:val="00FC3BC7"/>
    <w:rsid w:val="00FC49EF"/>
    <w:rsid w:val="00FD0B09"/>
    <w:rsid w:val="00FD38E1"/>
    <w:rsid w:val="00FD3EFB"/>
    <w:rsid w:val="00FD6253"/>
    <w:rsid w:val="00FD7CC9"/>
    <w:rsid w:val="00FE0655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D7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F378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0C396C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0C396C"/>
    <w:rPr>
      <w:rFonts w:ascii="Arial" w:hAnsi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E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6028"/>
    <w:rPr>
      <w:rFonts w:ascii="Times New Roman" w:eastAsia="Times New Roman" w:hAnsi="Times New Roman"/>
      <w:sz w:val="24"/>
      <w:szCs w:val="24"/>
    </w:rPr>
  </w:style>
  <w:style w:type="paragraph" w:customStyle="1" w:styleId="ZDANIENASTNOWYWIERSZnpzddrugienowywierszwust">
    <w:name w:val="ZDANIE_NAST_NOWY_WIERSZ – np. zd. drugie (nowy wiersz) w ust."/>
    <w:basedOn w:val="Normalny"/>
    <w:next w:val="Normalny"/>
    <w:uiPriority w:val="17"/>
    <w:qFormat/>
    <w:rsid w:val="00822028"/>
    <w:pPr>
      <w:spacing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822028"/>
    <w:rPr>
      <w:b/>
    </w:rPr>
  </w:style>
  <w:style w:type="character" w:customStyle="1" w:styleId="PKpogrubieniekursywa">
    <w:name w:val="_P_K_ – pogrubienie kursywa"/>
    <w:uiPriority w:val="1"/>
    <w:qFormat/>
    <w:rsid w:val="00822028"/>
    <w:rPr>
      <w:b/>
      <w:i/>
    </w:rPr>
  </w:style>
  <w:style w:type="character" w:customStyle="1" w:styleId="articletitle">
    <w:name w:val="articletitle"/>
    <w:basedOn w:val="Domylnaczcionkaakapitu"/>
    <w:rsid w:val="009237A2"/>
  </w:style>
  <w:style w:type="paragraph" w:styleId="Poprawka">
    <w:name w:val="Revision"/>
    <w:hidden/>
    <w:uiPriority w:val="99"/>
    <w:semiHidden/>
    <w:rsid w:val="004B3C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3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8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54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1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6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2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05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7761-08C2-4EB8-A446-3AF2898CE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57626-C6E0-40A9-9A31-C67385F60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0666C-7A76-4760-9BFF-E517E5579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E07424-4E9D-44BB-A2AC-E9794DF8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2789</Words>
  <Characters>16740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2023-05-19T10:53:00Z</dcterms:created>
  <dcterms:modified xsi:type="dcterms:W3CDTF">2023-05-22T06:48:00Z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