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września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Prezesa Narodowego Funduszu Zdrowia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określenia warunków zawierania i realizacji umów o udzielanie świadczeń opieki zdrowotnej w rodzaju leczenie szpitalne w zakresie świadczenia w szpitalnym oddziale ratunkowym oraz w zakresie świadczenia w izbie przyjęć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świadczeniach opieki zdrowotnej finansowanych ze środków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1285,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zarządzeniu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102/2022/DSM Prezesa Narodowego Funduszu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warunków zawierania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świadczeń opieki zdrowotnej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rodzaju leczenie szpitalne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szpitalnym oddziale ratunkowym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izbie przyjęć 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 otrzymuje brzmienie: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Składowa ryczałtu za funkcję określana jest według poniższego wzoru,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liczby pacjentów zakwalifikowanych do odpowiedniej kategorii stanu zdrowia pacjenta, na podstawie wykonanych procedur medycznych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oraz wag poszczególnych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kategorii:</w:t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1393425" cy="515376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425" cy="5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gdzie: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liczba 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przyjętym do kalkulacji (do kalkulacji przyjmuje się okres zawierający dane sprawozdawcze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pełnych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ich braku, do obliczeń przyjmuje się dane sprawozdawcze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minimum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liczba pacjentów zakwalifikowanych do odpowiedniej kategorii stanu zdrowia pacjenta. Składowa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pacjentów zakwalifikowanych do kategorii V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VI przyjętych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nagłym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przekazania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ratownictwa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medycznego;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pacjentów, dla których 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SOR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zakończyło się hospitalizacją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placówce;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pacjentów urazowych lub pacjentów urazowych dziecięcych, dla których 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urazowym zakończyło się hospitalizacją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samej placówce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rozliczenia wskazane zostało świadczenie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charakterystyce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katalogu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waga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kategorii,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96"/>
        <w:gridCol w:w="7156"/>
        <w:gridCol w:w="1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Kategorie stanu zdrowia pacjenta w SOR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Kategoria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świadczeń udzielanych pacjentom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Waga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Ocena stanu pacjenta (triage), podstawowa diagnostyka (badania laboratoryjne – pakiet podstawowy, EKG), porada lekarska, opieka pielęgniarska, farmakoterapia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Rozszerzona diagnostyka (badania laboratoryjne – pakiet dodatkowy, RTG przeglądowe, USG), konsultacja, małe zabiegi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III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Rozszerzona diagnostyka obrazowa, monitorowanie podstawowych czynności życiowych, farmakoterapia (dożylna, doszpikowa), mały zabieg operacyjny w trybie ambulatoryjnym, badanie inwazyjne (nakłucie lędźwiowe, nakłucie jam ciała), inne badania dodatkowe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IV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Czynności związane z podtrzymaniem funkcji życiowych, rozszerzona diagnostyka, prowadzenie infuzji dożylnych, endoskopia, resuscytacja (ALS z użyciem urządzeń mechanicznych)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V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Jednodniowa hospitalizacja pacjenta w SOR – monitorowanie funkcji życiowych, rozszerzona diagnostyka obrazowa (angiotomografia, trauma scan, TK w znieczuleniu ogólnym u dzieci)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1356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VI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Jednodniowa hospitalizacja pacjenta na stanowisku IT – monitorowanie funkcji życiowych pacjenta wg karty wzmożonego nadzoru - stanowiącej odpowiednio załącznik nr 8 i 9 do zarządzenia, monitoring, sztuczna wentylacja, farmakoterapia, dalsza diagnostyka, damage control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2863</w:t>
            </w:r>
          </w:p>
        </w:tc>
      </w:tr>
    </w:tbl>
    <w:p w:rsidR="00A77B3E">
      <w:pPr>
        <w:spacing w:before="0" w:after="0"/>
        <w:ind w:left="68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 otrzymuje brzmienie: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Stawka bazowa stanowiąca składową ryczałtu dobowego określana jest przez dyrektora Oddziału Funduszu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wartość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niższą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11 otrzymuje brzmienie: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Składowa ryczałtu za funkcję określana jest według poniższego wzoru,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liczby pacjentów, zakwalifikowanych do odpowiedniej kategorii stanu zdrowia pacjenta, na podstawie wykonanych procedur medycznych,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zarządzenia oraz wag poszczególnych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kategorii:</w:t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1393425" cy="515376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3425" cy="5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68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gdzie: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liczba 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przyjętym do kalkulacji (do kalkulacji przyjmuje się okres zawierający dane sprawozdawcze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pełnych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ich braku, do obliczeń przyjmuje się dane sprawozdawcze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minimum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liczba pacjentów zakwalifikowanych do odpowiedniej kategorii stanu zdrowia pacjenta, dla których 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IP zostały zakończone wypisem (składowa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pacjentów planowych oraz przyjętych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hospitalizacji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podmiocie),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b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waga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kategorii,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80"/>
        <w:gridCol w:w="7652"/>
        <w:gridCol w:w="1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Kategorie stanu zdrowia pacjenta w IP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Kategoria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świadczeń udzielanych pacjentom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Waga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Porada lekarska, opieka pielęgniarska, wstępna ocena stanu zdrowia pacjenta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Podstawowa diagnostyka (RTG, USG, badania laboratoryjne), konsultacja specjalistyczna, małe zabiegi, monitorowanie podstawowych czynności życiowych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III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Rozszerzona diagnostyka (TK, USG – doppler), czynności związane z podtrzymaniem funkcji życiowych, resuscytacja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IV</w:t>
            </w:r>
          </w:p>
        </w:tc>
        <w:tc>
          <w:tcPr>
            <w:tcW w:w="7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Procedury wykonywane podczas konsultacji specjalistycznych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818</w:t>
            </w:r>
          </w:p>
        </w:tc>
      </w:tr>
    </w:tbl>
    <w:p w:rsidR="00A77B3E">
      <w:pPr>
        <w:spacing w:before="0" w:after="0"/>
        <w:ind w:left="68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zarządzenia stosuje się do świadczeń udzielanych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następującym po dniu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NARODOWEGO FUNDUSZU ZDROWIA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Filip Nowak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Narodowego Funduszu Zdrowia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Dokument podpisano elektronicznie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/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Niniejsze zarządzenie Prezesa Narodowego Funduszu Zdrowia zmieniające zarządzenie w sprawie określenia warunków zawierania i realizacji umów o udzielanie świadczeń opieki zdrowotnej w rodzaju leczenie szpitalne w zakresie: świadczenia w szpitalnym oddziale ratunkowym oraz w zakresie: świadczenia w izbie przyjęć, stanowi wykonanie upoważnienia ustawowego zawartego w art. 146 ust. 1 ustawy z dnia 27 sierpnia 2004 r. o świadczeniach opieki zdrowotnej finansowanych ze środków publicznych (Dz. U. z 2021 r. poz. 1285, z późn. zm.), zwanej dalej „ustawą o świadczeniach”.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Wprowadzone niniejszym zarządzeniem zmiany mają na celu zwiększenie wartości stawek ryczałtów dobowych określonych dla SOR i IP i są realizacją zobowiązania nałożonego przez Ministra Zdrowia na Prezesa NFZ (pismo z dnia 20 września 2022 r.; znak: WT.5403.29.2022.JM.9). Nowa wycena ma zostać zastosowana od dnia 1 października 2022 r. i wynika z opracowania przygotowanego przez Agencję Oceny Technologii Medycznych i Taryfikacji w sprawie</w:t>
      </w:r>
      <w:r>
        <w:rPr>
          <w:szCs w:val="20"/>
        </w:rPr>
        <w:t xml:space="preserve"> analiz kosztowych i propozycji nowych wycen w odniesieniu do świadczeń udzielanych w SOR i IP.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Celem realizacji powyższego</w:t>
      </w:r>
      <w:r>
        <w:rPr>
          <w:szCs w:val="20"/>
        </w:rPr>
        <w:t>, zmianie uległy wartości wag punktowych poszczególnych kategorii sanu zdrowia pacjenta w SOR i IP. Ponadto, zgodnie z ww. opracowaniem Agencji Oceny Technologii Medycznych i Taryfikacji, w przedmiotowym zarządzeniu</w:t>
      </w:r>
      <w:r>
        <w:rPr>
          <w:szCs w:val="20"/>
        </w:rPr>
        <w:t xml:space="preserve"> </w:t>
      </w:r>
      <w:r>
        <w:rPr>
          <w:szCs w:val="20"/>
        </w:rPr>
        <w:t>określono</w:t>
      </w:r>
      <w:r>
        <w:rPr>
          <w:szCs w:val="20"/>
        </w:rPr>
        <w:t xml:space="preserve"> minimalną stawkę bazową dla IP</w:t>
      </w:r>
      <w:r>
        <w:rPr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(Dz.U. z 2022 r. poz. 787, z późn. zm.), zostanie poddany konsultacjom zewnętrznym.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Zarządzenie wchodzi w życie w dniu następującym po dniu podpisania, a jego przepisy stosuje się do świadczeń udzielanych od dnia 1 października 2022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>
      <w:footerReference w:type="default" r:id="rId10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7ED94B76-2410-4B2B-AF24-41A98225EEBE.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7ED94B76-2410-4B2B-AF24-41A98225EEBE.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 Dz. U. z 2021 r. poz. 1292, 1559, 1773, 1834, 1981, 2105, 2120, 2232, 2270, 2427, 2469, z 2022 r. poz. 64, 91, 526, 583, 655, 807, 974, 1002, 1097, 1265, 1352, 1700 i 1855.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image" Target="Zalacznik4B13C5ED-8AA2-43D2-BE98-9796E33552D7.png" TargetMode="External" /><Relationship Id="rId7" Type="http://schemas.openxmlformats.org/officeDocument/2006/relationships/image" Target="media/image2.png" /><Relationship Id="rId8" Type="http://schemas.openxmlformats.org/officeDocument/2006/relationships/image" Target="Zalacznik68BDDA37-6DC5-4DDA-BAE6-539D25308A77.png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o^udzielanie świadczeń opieki zdrowotnej w^rodzaju leczenie szpitalne w^zakresie świadczenia w^szpitalnym oddziale ratunkowym oraz w^zakresie świadczenia w^izbie przyjęć</dc:subject>
  <dc:creator>Monika.Szumanska</dc:creator>
  <cp:lastModifiedBy>Monika.Szumanska</cp:lastModifiedBy>
  <cp:revision>1</cp:revision>
  <dcterms:created xsi:type="dcterms:W3CDTF">2022-09-21T15:31:54Z</dcterms:created>
  <dcterms:modified xsi:type="dcterms:W3CDTF">2022-09-21T15:31:54Z</dcterms:modified>
  <cp:category>Akt prawny</cp:category>
</cp:coreProperties>
</file>