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ED" w:rsidRDefault="00D84E33">
      <w:pPr>
        <w:keepNext/>
        <w:spacing w:before="120" w:after="120" w:line="360" w:lineRule="auto"/>
        <w:ind w:left="4535"/>
        <w:jc w:val="left"/>
      </w:pPr>
      <w:r>
        <w:t>Załącznik Nr </w:t>
      </w:r>
      <w:r w:rsidR="00821811">
        <w:t>4</w:t>
      </w:r>
      <w:bookmarkStart w:id="0" w:name="_GoBack"/>
      <w:bookmarkEnd w:id="0"/>
      <w:r>
        <w:t> do zarządzenia Nr ……../2022/DGL</w:t>
      </w:r>
      <w:r>
        <w:br/>
        <w:t>Prezesa Narodowego Funduszu Zdrowia</w:t>
      </w:r>
      <w:r>
        <w:br/>
        <w:t>z dnia ……… 2022 r.</w:t>
      </w:r>
    </w:p>
    <w:p w:rsidR="004229ED" w:rsidRDefault="00D84E33">
      <w:pPr>
        <w:keepNext/>
        <w:spacing w:after="480"/>
        <w:jc w:val="center"/>
      </w:pPr>
      <w:r>
        <w:rPr>
          <w:b/>
        </w:rPr>
        <w:t>Wykaz programów lekowych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815"/>
        <w:gridCol w:w="1785"/>
        <w:gridCol w:w="2535"/>
        <w:gridCol w:w="3075"/>
        <w:gridCol w:w="5115"/>
      </w:tblGrid>
      <w:tr w:rsidR="004229ED">
        <w:trPr>
          <w:trHeight w:val="8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KOD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NUMER ZAŁĄCZNIKA Z OBWIESZCZENIA MZ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ROZPOZNANIE KLINICZNE</w:t>
            </w:r>
          </w:p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ICD-10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NAZWA PROGRAMU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SUBSTANCJE CZYNNE</w:t>
            </w:r>
          </w:p>
        </w:tc>
      </w:tr>
      <w:tr w:rsidR="004229ED">
        <w:trPr>
          <w:trHeight w:val="30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6</w:t>
            </w:r>
          </w:p>
        </w:tc>
      </w:tr>
      <w:tr w:rsidR="004229ED">
        <w:trPr>
          <w:trHeight w:val="975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03.0000.301.02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 18.1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chorych na przewlekłe wirusowe zapalenia wątroby typu B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INTERFERON PEGYLOWANY ALFA-2A, LAMIWUDYNA, ENTEKAWIR, TENOFOWIR</w:t>
            </w:r>
          </w:p>
        </w:tc>
      </w:tr>
      <w:tr w:rsidR="004229ED">
        <w:trPr>
          <w:trHeight w:val="81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03.0000.303.02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B.3.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 15, C 16, C 17, C 18, C 20, C 48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nowotworów podścieliska przewodu pokarmowego (GIST)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IMATYNIB, SUNITYNIB, SORAFENIB</w:t>
            </w:r>
          </w:p>
        </w:tc>
      </w:tr>
      <w:tr w:rsidR="004229ED">
        <w:trPr>
          <w:trHeight w:val="78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03.0000.304.02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B.4.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 18, C 19, C 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chorych na zaawansowanego raka jelita grubego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CETUKSYMAB, PANITUMUMAB, AFLIBERCEPT, TRIFLURYDYNA + TYPIRACYL</w:t>
            </w:r>
          </w:p>
        </w:tc>
      </w:tr>
      <w:tr w:rsidR="004229ED">
        <w:trPr>
          <w:trHeight w:val="57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03.0000.305.02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B.5.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 22.0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chorych na raka </w:t>
            </w:r>
            <w:proofErr w:type="spellStart"/>
            <w:r>
              <w:rPr>
                <w:b/>
                <w:sz w:val="16"/>
              </w:rPr>
              <w:t>wątrobowokomórkowego</w:t>
            </w:r>
            <w:proofErr w:type="spellEnd"/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SORAFENIB, KABOZANYTYNIB, ATEZOLIZUMAB</w:t>
            </w:r>
          </w:p>
        </w:tc>
      </w:tr>
      <w:tr w:rsidR="004229ED">
        <w:trPr>
          <w:trHeight w:val="90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03.0000.306.02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B.6.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 34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</w:t>
            </w:r>
            <w:proofErr w:type="spellStart"/>
            <w:r>
              <w:rPr>
                <w:b/>
                <w:sz w:val="16"/>
              </w:rPr>
              <w:t>niedrobnokomórkowego</w:t>
            </w:r>
            <w:proofErr w:type="spellEnd"/>
            <w:r>
              <w:rPr>
                <w:b/>
                <w:sz w:val="16"/>
              </w:rPr>
              <w:t xml:space="preserve"> lub drobnokomórkowego raka płuca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KRYZOTYNIB, OZYMERTYNIB, NIWOLUMAB, PEMBROLIZUMAB, ATEZOLIZUMAB, AFATYNIB, NINTEDANIB, ALEKTYNIB, CERYTYNIB, BRYGATYNIB, DURWALUMAB, DAKOMITYNIB, LORLATYNIB</w:t>
            </w:r>
          </w:p>
        </w:tc>
      </w:tr>
      <w:tr w:rsidR="004229ED">
        <w:trPr>
          <w:trHeight w:val="705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03.0000.308.02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B.8.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 48, C 49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mięsaków tkanek miękkich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TRABEKTEDYNA, PAZOPANIB, SUNITYNIB</w:t>
            </w:r>
          </w:p>
        </w:tc>
      </w:tr>
      <w:tr w:rsidR="004229ED">
        <w:trPr>
          <w:trHeight w:val="81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03.0000.309.02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B.9.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 50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chorych na raka piersi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TRASTUZUMAB, LAPATYNIB, PERTUZUMAB, PALBOCYKLIB, RYBOCYKLIB, TRASTUZUMAB EMTAZYNA, ABEMACYKLIB</w:t>
            </w:r>
          </w:p>
        </w:tc>
      </w:tr>
      <w:tr w:rsidR="004229ED">
        <w:trPr>
          <w:trHeight w:val="81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lastRenderedPageBreak/>
              <w:t>8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03.0000.310.02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B.10.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 64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pacjentów z rakiem nerki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SUNITYNIB, SORAFENIB, EWEROLIMUS, PAZOPANIB, AKSYTYNIB, TEMSYROLIMUS, KABOZANTINIB, NIWOLUMAB, IPILIMUMAB</w:t>
            </w:r>
          </w:p>
        </w:tc>
      </w:tr>
      <w:tr w:rsidR="004229ED">
        <w:trPr>
          <w:trHeight w:val="69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03.0000.312.02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B.12.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 xml:space="preserve">C82.0, C82.1, C82.7 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chorych na </w:t>
            </w:r>
            <w:proofErr w:type="spellStart"/>
            <w:r>
              <w:rPr>
                <w:b/>
                <w:sz w:val="16"/>
              </w:rPr>
              <w:t>chłoniaki</w:t>
            </w:r>
            <w:proofErr w:type="spellEnd"/>
            <w:r>
              <w:rPr>
                <w:b/>
                <w:sz w:val="16"/>
              </w:rPr>
              <w:t xml:space="preserve"> złośliwe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OBINUTUZUMAB</w:t>
            </w:r>
          </w:p>
        </w:tc>
      </w:tr>
      <w:tr w:rsidR="004229ED">
        <w:trPr>
          <w:trHeight w:val="106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03.0000.314.02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B.14.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 92.1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chorych na przewlekłą białaczkę szpikową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DASATYNIB, NILOTYNIB, BOSUTYNIB, PONATYNIB</w:t>
            </w:r>
          </w:p>
        </w:tc>
      </w:tr>
      <w:tr w:rsidR="004229ED">
        <w:trPr>
          <w:trHeight w:val="105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03.0000.315.02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B.15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D 66, D 67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Zapobieganie krwawieniom u dzieci z hemofilią A i B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Koncentrat czynnika krzepnięcia VIII,</w:t>
            </w:r>
          </w:p>
          <w:p w:rsidR="004229ED" w:rsidRDefault="00D84E33">
            <w:pPr>
              <w:jc w:val="center"/>
            </w:pPr>
            <w:r>
              <w:rPr>
                <w:sz w:val="16"/>
              </w:rPr>
              <w:t>Koncentrat czynnika krzepnięcia IX</w:t>
            </w:r>
          </w:p>
        </w:tc>
      </w:tr>
      <w:tr w:rsidR="004229ED">
        <w:trPr>
          <w:trHeight w:val="276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12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03.0000.317.02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B.17.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D 80, W TYM: D 80.0, D 80.1, D 80.3, D 80.4, D 80.5, D 80.6, D 80.8, D 80.9, D 81 W CAŁOŚCI, D 82, W TYM: D 82.0, D 82.1, D 82.3, D 82.8, D 82.9, D 83, W TYM: D 83.0, D 83.1, D 83.3, D 83.8, D 83.9, D 89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pierwotnych niedoborów odporności u dzieci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IMMUNOGLOBULINY</w:t>
            </w:r>
          </w:p>
        </w:tc>
      </w:tr>
      <w:tr w:rsidR="004229ED">
        <w:trPr>
          <w:trHeight w:val="99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03.0000.318.02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B.18.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E 22.8, E 30.9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przedwczesnego dojrzewania płciowego u dzieci lub zagrażającej patologicznej niskorosłości na skutek szybko postępującego dojrzewania płciowego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TRIPTORELINA</w:t>
            </w:r>
          </w:p>
        </w:tc>
      </w:tr>
      <w:tr w:rsidR="004229ED">
        <w:trPr>
          <w:trHeight w:val="97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14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03.0000.319.02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B.19.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E 23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niskorosłych dzieci z somatotropinową niedoczynnością przysadki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SOMATOTROPINA</w:t>
            </w:r>
          </w:p>
        </w:tc>
      </w:tr>
      <w:tr w:rsidR="004229ED">
        <w:trPr>
          <w:trHeight w:val="975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15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03.0000.320.02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B.20.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E 34.3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niskorosłych dzieci z ciężkim pierwotnym niedoborem IGF-1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MEKASERMINA</w:t>
            </w:r>
          </w:p>
        </w:tc>
      </w:tr>
      <w:tr w:rsidR="004229ED">
        <w:trPr>
          <w:trHeight w:val="975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lastRenderedPageBreak/>
              <w:t>16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03.0000.321.02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B.21.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E 72.1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ciężkich wrodzonych </w:t>
            </w:r>
            <w:proofErr w:type="spellStart"/>
            <w:r>
              <w:rPr>
                <w:b/>
                <w:sz w:val="16"/>
              </w:rPr>
              <w:t>hiperhomocysteinemii</w:t>
            </w:r>
            <w:proofErr w:type="spellEnd"/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BETAINA BEZWODNA</w:t>
            </w:r>
          </w:p>
        </w:tc>
      </w:tr>
      <w:tr w:rsidR="004229ED">
        <w:trPr>
          <w:trHeight w:val="645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03.0000.322.02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B.22.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E 74.0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choroby </w:t>
            </w:r>
            <w:proofErr w:type="spellStart"/>
            <w:r>
              <w:rPr>
                <w:b/>
                <w:sz w:val="16"/>
              </w:rPr>
              <w:t>Pompego</w:t>
            </w:r>
            <w:proofErr w:type="spellEnd"/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ALGLUKOZYDAZA ALFA</w:t>
            </w:r>
          </w:p>
        </w:tc>
      </w:tr>
      <w:tr w:rsidR="004229ED">
        <w:trPr>
          <w:trHeight w:val="765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03.0000.323.02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B.23.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E 75.2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choroby </w:t>
            </w:r>
            <w:proofErr w:type="spellStart"/>
            <w:r>
              <w:rPr>
                <w:b/>
                <w:sz w:val="16"/>
              </w:rPr>
              <w:t>Gauchera</w:t>
            </w:r>
            <w:proofErr w:type="spellEnd"/>
            <w:r>
              <w:rPr>
                <w:b/>
                <w:sz w:val="16"/>
              </w:rPr>
              <w:t xml:space="preserve"> typu I oraz typu III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IMIGLUCERAZA, ELIGLUSTAT, WELAGLUCERAZA ALFA</w:t>
            </w:r>
          </w:p>
        </w:tc>
      </w:tr>
      <w:tr w:rsidR="004229ED">
        <w:trPr>
          <w:trHeight w:val="615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19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03.0000.324.02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B.24.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E 76.0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choroby </w:t>
            </w:r>
            <w:proofErr w:type="spellStart"/>
            <w:r>
              <w:rPr>
                <w:b/>
                <w:sz w:val="16"/>
              </w:rPr>
              <w:t>Hurler</w:t>
            </w:r>
            <w:proofErr w:type="spellEnd"/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LARONIDAZA</w:t>
            </w:r>
          </w:p>
        </w:tc>
      </w:tr>
      <w:tr w:rsidR="004229ED">
        <w:trPr>
          <w:trHeight w:val="96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03.0000.325.02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B.25.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E 76.1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</w:t>
            </w:r>
            <w:proofErr w:type="spellStart"/>
            <w:r>
              <w:rPr>
                <w:b/>
                <w:sz w:val="16"/>
              </w:rPr>
              <w:t>mukopolisacharydozy</w:t>
            </w:r>
            <w:proofErr w:type="spellEnd"/>
            <w:r>
              <w:rPr>
                <w:b/>
                <w:sz w:val="16"/>
              </w:rPr>
              <w:t xml:space="preserve"> typu II (zespół Huntera)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IDURSULFAZA</w:t>
            </w:r>
          </w:p>
        </w:tc>
      </w:tr>
      <w:tr w:rsidR="004229ED">
        <w:trPr>
          <w:trHeight w:val="96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03.0000.327.02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B.27.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E 84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przewlekłych zakażeń płuc u świadczeniobiorców z mukowiscydozą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TOBRAMYCYNA, LEWOFLOKSACYNA</w:t>
            </w:r>
          </w:p>
        </w:tc>
      </w:tr>
      <w:tr w:rsidR="004229ED">
        <w:trPr>
          <w:trHeight w:val="96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22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03.0000.328.02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B.28.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G 24.3, G 24.4, G 24.5, G 51.3, G 24.8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dystonii ogniskowych i połowiczego kurczu twarzy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TOKSYNA BOTULINOWA TYPU A</w:t>
            </w:r>
          </w:p>
        </w:tc>
      </w:tr>
      <w:tr w:rsidR="004229ED">
        <w:trPr>
          <w:trHeight w:val="100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23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03.0000.329.02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B.29.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G 35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stwardnienia rozsianego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INTERFERON BETA, OCTAN GLATIRAMERU, FUMARAN DIMETYLU, PEGINTERFERON BETA-1A, TERYFLUNOMID</w:t>
            </w:r>
          </w:p>
        </w:tc>
      </w:tr>
      <w:tr w:rsidR="004229ED">
        <w:trPr>
          <w:trHeight w:val="1005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24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03.0000.330.02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B.30.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G 80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spastyczności w mózgowym porażeniu dziecięcym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TOKSYNA BOTULINOWA TYPU A</w:t>
            </w:r>
          </w:p>
        </w:tc>
      </w:tr>
      <w:tr w:rsidR="004229ED">
        <w:trPr>
          <w:trHeight w:val="1005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03.0000.331.02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B.31.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I 27, I 27.0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tętniczego nadciśnienia płucnego (TNP)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ILOPROST, BOSENTAN, TREPROSTINIL, SILDENAFIL, EPOPROSTENOL, MACYTENTAN, RIOCYGUAT, SELEKSYPAG</w:t>
            </w:r>
          </w:p>
        </w:tc>
      </w:tr>
      <w:tr w:rsidR="004229ED">
        <w:trPr>
          <w:trHeight w:val="100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lastRenderedPageBreak/>
              <w:t>26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03.0000.332.02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B.32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K 50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pacjentów z chorobą </w:t>
            </w:r>
            <w:proofErr w:type="spellStart"/>
            <w:r>
              <w:rPr>
                <w:b/>
                <w:sz w:val="16"/>
              </w:rPr>
              <w:t>Leśniowskiego-Crohna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INFLIKSYMAB, ADALIMUMAB, USTEKINUMAB, WEDOLIZUMAB</w:t>
            </w:r>
          </w:p>
        </w:tc>
      </w:tr>
      <w:tr w:rsidR="004229ED">
        <w:trPr>
          <w:trHeight w:val="299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27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03.0000.333.02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B.33.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M 05, M 06, M 08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chorych z aktywną postacią reumatoidalnego zapalenia stawów i młodzieńczego idiopatycznego zapalenia stawów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INFLIKSYMAB, ETANERCEPT, ADALIMUMAB, RYTUKSYMAB, GOLIMUMAB, CERTOLIZUMAB PEGOL, TOCILIZUMAB, TOFACYTYNIB, BARICYTYNIB, UPADACYTYNIB, ANAKINRA</w:t>
            </w:r>
          </w:p>
        </w:tc>
      </w:tr>
      <w:tr w:rsidR="004229ED">
        <w:trPr>
          <w:trHeight w:val="93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28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03.0000.335.02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B.35.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L 40.5, M 07.1, M 07.2, M 07.3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chorych z aktywną postacią łuszczycowego zapalenia stawów (ŁZS)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INFLIKSYMAB, ETANERCEPT, ADALIMUMAB, GOLIMUMAB, CERTOLIZUMAB PEGOL, SEKUKINUMAB, TOFACYTYNIB, IKSEKIZUMAB, UPADACYTYNIB</w:t>
            </w:r>
          </w:p>
        </w:tc>
      </w:tr>
      <w:tr w:rsidR="004229ED">
        <w:trPr>
          <w:trHeight w:val="129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29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03.0000.336.02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B.36.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M 45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chorych z aktywną postacią zesztywniającego zapalenia stawów kręgosłupa (ZZSK)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INFLIKSYMAB, ETANERCEPT, ADALIMUMAB, GOLIMUMAB, CERTOLIZUMAB PEGOL, SEKUKINUMAB, UPADACYTYNIB, IKSEKIZUMAB</w:t>
            </w:r>
          </w:p>
        </w:tc>
      </w:tr>
      <w:tr w:rsidR="004229ED">
        <w:trPr>
          <w:trHeight w:val="967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03.0000.337.02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B.37.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N 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niedokrwistości w przebiegu przewlekłej niewydolności nerek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 xml:space="preserve">EPOETYNA ALFA, DARBEPOETYNA ALFA, </w:t>
            </w:r>
          </w:p>
        </w:tc>
      </w:tr>
      <w:tr w:rsidR="004229ED">
        <w:trPr>
          <w:trHeight w:val="1088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31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03.0000.338.02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B.38.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N 18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niskorosłych dzieci z przewlekłą niewydolnością nerek (PNN)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SOMATOTROPINA</w:t>
            </w:r>
          </w:p>
        </w:tc>
      </w:tr>
      <w:tr w:rsidR="004229ED">
        <w:trPr>
          <w:trHeight w:val="1077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32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03.0000.339.02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B.39.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N 25.8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wtórnej nadczynności przytarczyc u pacjentów leczonych nerkozastępczo dializami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CYNAKALCET, PARYKALCYTOL</w:t>
            </w:r>
          </w:p>
        </w:tc>
      </w:tr>
      <w:tr w:rsidR="004229ED">
        <w:trPr>
          <w:trHeight w:val="81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33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03.0000.340.02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B.40.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P 07.2, P 07.3,</w:t>
            </w:r>
          </w:p>
          <w:p w:rsidR="004229ED" w:rsidRDefault="00D84E33">
            <w:pPr>
              <w:jc w:val="center"/>
            </w:pPr>
            <w:r>
              <w:rPr>
                <w:sz w:val="16"/>
              </w:rPr>
              <w:t>P 27.1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Profilaktyka zakażeń wirusem RS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PALIWIZUMAB</w:t>
            </w:r>
          </w:p>
        </w:tc>
      </w:tr>
      <w:tr w:rsidR="004229ED">
        <w:trPr>
          <w:trHeight w:val="502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34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03.0000.341.02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B.41.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Q 87.1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zespołu </w:t>
            </w:r>
            <w:proofErr w:type="spellStart"/>
            <w:r>
              <w:rPr>
                <w:b/>
                <w:sz w:val="16"/>
              </w:rPr>
              <w:t>Prader</w:t>
            </w:r>
            <w:proofErr w:type="spellEnd"/>
            <w:r>
              <w:rPr>
                <w:b/>
                <w:sz w:val="16"/>
              </w:rPr>
              <w:t xml:space="preserve"> - Willi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SOMATOTROPINA</w:t>
            </w:r>
          </w:p>
        </w:tc>
      </w:tr>
      <w:tr w:rsidR="004229ED">
        <w:trPr>
          <w:trHeight w:val="70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35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03.0000.342.02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B.42.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Q 96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niskorosłych dzieci z Zespołem Turnera (ZT)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SOMATOTROPINA</w:t>
            </w:r>
          </w:p>
        </w:tc>
      </w:tr>
      <w:tr w:rsidR="004229ED">
        <w:trPr>
          <w:trHeight w:val="694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lastRenderedPageBreak/>
              <w:t>36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03.0000.344.02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B.44.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J 45, J 82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chorych z ciężką postacią astmy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OMALIZUMAB, MEPOLIZUMAB, BENRALIZUMAB, DUPILUMAB</w:t>
            </w:r>
          </w:p>
        </w:tc>
      </w:tr>
      <w:tr w:rsidR="004229ED">
        <w:trPr>
          <w:trHeight w:val="219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37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03.0000.346.02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B.46.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G 35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stwardnienia rozsianego po niepowodzeniu terapii lekami pierwszego rzutu lub szybko rozwijającej się ciężkiej postaci stwardnienia rozsianego lub pierwotnie postępującej postaci stwardnienia rozsianego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FINGOLIMOD, NATALIZUMAB, OKRELIZUMAB, KLADRYBINA, ALEMTUZUMAB</w:t>
            </w:r>
          </w:p>
        </w:tc>
      </w:tr>
      <w:tr w:rsidR="004229ED">
        <w:trPr>
          <w:trHeight w:val="816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38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03.0000.347.02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B.47.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L 40.0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umiarkowanej i ciężkiej postaci łuszczycy plackowatej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USTEKINUMAB, ADALIMUMAB, ETANERCEPT, INFLIKSYMAB, IKSEKIZUMAB, SEKUKINUMAB, GUSELKUMAB, RYZANKIZUMAB, CERTOLIZUMAB PEGOL, TYLDRAKIZUMAB</w:t>
            </w:r>
          </w:p>
        </w:tc>
      </w:tr>
      <w:tr w:rsidR="004229ED">
        <w:trPr>
          <w:trHeight w:val="843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39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03.0000.350.02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B.50.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 xml:space="preserve">C 48, C 56, C 57 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chorych na raka jajnika, raka jajowodu lub raka otrzewnej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OLAPARYB, NIRAPARYB</w:t>
            </w:r>
          </w:p>
        </w:tc>
      </w:tr>
      <w:tr w:rsidR="004229ED">
        <w:trPr>
          <w:trHeight w:val="106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40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03.0000.352.02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B.52.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 00, C 01, C 02, C 03, C 04, C 05, C 05.0, C 05.1, C 05.2, C 05.8, C 05.9, C 06, C 07, C 08, C 09, C 09.0, C 09.1, C 09.8, C 09.9, C 10, C 10.0, C 10.1, C 10.2, C 10.3, C 10.4, C 10.8, C 10.9, C 12, C 13, C 13.0, C 13.1, C 13.2, C 13.8, C 13.9, C 14, C 32, C 32.0, C 32.1, C 32.2, C 32.3, C32.8, C 32.9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płaskonabłonkowego raka narządów głowy i szyi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CETUKSYMAB, NIWOLUMAB</w:t>
            </w:r>
            <w:r w:rsidR="005B053A">
              <w:rPr>
                <w:sz w:val="16"/>
              </w:rPr>
              <w:t xml:space="preserve">, </w:t>
            </w:r>
            <w:r w:rsidR="005B053A" w:rsidRPr="005B053A">
              <w:rPr>
                <w:sz w:val="16"/>
              </w:rPr>
              <w:t>PEMBROLIZUMAB</w:t>
            </w:r>
          </w:p>
        </w:tc>
      </w:tr>
      <w:tr w:rsidR="004229ED">
        <w:trPr>
          <w:trHeight w:val="8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41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03.0000.353.02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B.53.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 25.4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wysoko zróżnicowanego nowotworu neuroendokrynnego trzustki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EWEROLIMUS, SUNITYNIB</w:t>
            </w:r>
          </w:p>
        </w:tc>
      </w:tr>
      <w:tr w:rsidR="004229ED">
        <w:trPr>
          <w:trHeight w:val="106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42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03.0000.354.02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B.54.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 90.0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chorych na szpiczaka plazmocytowego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LENALIDOMID, POMALIDOMID, DARATUMUMAB, KARFILZOMIB, IKSAZOMIB</w:t>
            </w:r>
          </w:p>
        </w:tc>
      </w:tr>
      <w:tr w:rsidR="004229ED">
        <w:trPr>
          <w:trHeight w:val="87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43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03.0000.355.02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B.55.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K 51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pacjentów z wrzodziejącym zapaleniem jelita grubego (WZJG)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 xml:space="preserve">INFLIKSYMAB, WEDOLIZUMAB, TOFACYTYNIB, USTEKINUMAB </w:t>
            </w:r>
          </w:p>
        </w:tc>
      </w:tr>
      <w:tr w:rsidR="004229ED">
        <w:trPr>
          <w:trHeight w:val="94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44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03.0000.356.02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B.56.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 61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chorych na opornego na kastrację raka gruczołu krokowego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OCTAN ABIRATERONU, ENZALUTAMID, DICHLOREK RADU RA-223, APALUTAMID, DAROLUTAMID</w:t>
            </w:r>
          </w:p>
        </w:tc>
      </w:tr>
      <w:tr w:rsidR="004229ED">
        <w:trPr>
          <w:trHeight w:val="106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lastRenderedPageBreak/>
              <w:t>45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03.0000.357.02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B.57.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I 61, I 63, I 69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spastyczności kończyny górnej i/lub dolnej po udarze mózgu z użyciem toksyny botulinowej typu A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TOKSYNA BOTULINOWA TYPU A</w:t>
            </w:r>
          </w:p>
        </w:tc>
      </w:tr>
      <w:tr w:rsidR="004229ED">
        <w:trPr>
          <w:trHeight w:val="82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46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03.0000.358.02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B.58.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 16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zaawansowanego raka żołądka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TRASTUZUMAB</w:t>
            </w:r>
          </w:p>
        </w:tc>
      </w:tr>
      <w:tr w:rsidR="004229ED">
        <w:trPr>
          <w:trHeight w:val="97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47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03.0000.359.02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B.59.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 43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</w:t>
            </w:r>
            <w:r w:rsidR="00800D32">
              <w:rPr>
                <w:b/>
                <w:sz w:val="16"/>
              </w:rPr>
              <w:t xml:space="preserve"> chorych na</w:t>
            </w:r>
            <w:r>
              <w:rPr>
                <w:b/>
                <w:sz w:val="16"/>
              </w:rPr>
              <w:t xml:space="preserve"> czerniaka skóry lub błon śluzowych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NIWOLUMAB, PEMBROLIZUMAB, WEMURAFENIB, KOBIMETYNIB, DABRAFENIB, TRAMETYNIB, BINIMETYNIB, ENKORAFENIB, IPILIMUMAB</w:t>
            </w:r>
          </w:p>
        </w:tc>
      </w:tr>
      <w:tr w:rsidR="004229ED">
        <w:trPr>
          <w:trHeight w:val="85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48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03.0000.361.02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B.61.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E72.0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chorych na wczesnodziecięcą postać cystynozy </w:t>
            </w:r>
            <w:proofErr w:type="spellStart"/>
            <w:r>
              <w:rPr>
                <w:b/>
                <w:sz w:val="16"/>
              </w:rPr>
              <w:t>nefropatycznej</w:t>
            </w:r>
            <w:proofErr w:type="spellEnd"/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CYSTEAMINA</w:t>
            </w:r>
          </w:p>
        </w:tc>
      </w:tr>
      <w:tr w:rsidR="004229ED">
        <w:trPr>
          <w:trHeight w:val="36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49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03.0000.362.02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B.62.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D 80, w tym: D 80.0, D 80.1, D 80.3, D 80.4, D 80.5, D 80.6, D 80.8, D 80.9; D 81.9;</w:t>
            </w:r>
          </w:p>
          <w:p w:rsidR="004229ED" w:rsidRDefault="00D84E33">
            <w:pPr>
              <w:jc w:val="center"/>
            </w:pPr>
            <w:r>
              <w:rPr>
                <w:sz w:val="16"/>
              </w:rPr>
              <w:t>D 82 w tym: D 82.0, D 82.1, D 82.3, D 82.8, D 82.9;</w:t>
            </w:r>
          </w:p>
          <w:p w:rsidR="004229ED" w:rsidRDefault="00D84E33">
            <w:pPr>
              <w:jc w:val="center"/>
            </w:pPr>
            <w:r>
              <w:rPr>
                <w:sz w:val="16"/>
              </w:rPr>
              <w:t>D 83 w tym: D 83.0, D 83.1, D 83.8, D 83.9; D 89.9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pierwotnych niedoborów odporności (PNO) u pacjentów dorosłych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IMMUNOGLOBULINY</w:t>
            </w:r>
          </w:p>
        </w:tc>
      </w:tr>
      <w:tr w:rsidR="004229ED">
        <w:trPr>
          <w:trHeight w:val="106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50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03.0000.364.02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B.64.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R 62.9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hormonem wzrostu niskorosłych dzieci urodzonych jako zbyt małe w porównaniu do czasu trwania ciąży (SGA lub IUGR) 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SOMATOTROPINA</w:t>
            </w:r>
          </w:p>
        </w:tc>
      </w:tr>
      <w:tr w:rsidR="004229ED">
        <w:trPr>
          <w:trHeight w:val="828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51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03.0000.365.02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B.65.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 91.0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chorych na ostrą białaczkę limfoblastyczną</w:t>
            </w:r>
            <w:r>
              <w:rPr>
                <w:b/>
                <w:sz w:val="16"/>
                <w:vertAlign w:val="superscript"/>
              </w:rPr>
              <w:t xml:space="preserve">1 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DASATYNIB, BLINATUMOMAB, PONATYNIB, INOTUZUMAB OZOGAMYCYNY, TISAGENLECLEUCEL</w:t>
            </w:r>
          </w:p>
        </w:tc>
      </w:tr>
      <w:tr w:rsidR="004229ED">
        <w:trPr>
          <w:trHeight w:val="829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52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03.0000.366.02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B.66.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 84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chorych na pierwotne </w:t>
            </w:r>
            <w:proofErr w:type="spellStart"/>
            <w:r>
              <w:rPr>
                <w:b/>
                <w:sz w:val="16"/>
              </w:rPr>
              <w:t>chłoniaki</w:t>
            </w:r>
            <w:proofErr w:type="spellEnd"/>
            <w:r>
              <w:rPr>
                <w:b/>
                <w:sz w:val="16"/>
              </w:rPr>
              <w:t xml:space="preserve"> skórne T – komórkowe </w:t>
            </w:r>
            <w:r>
              <w:rPr>
                <w:b/>
                <w:sz w:val="16"/>
                <w:vertAlign w:val="superscript"/>
              </w:rPr>
              <w:t xml:space="preserve">1 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BEKSAROTEN, BRENTUKSYMAB VEDOTIN</w:t>
            </w:r>
          </w:p>
        </w:tc>
      </w:tr>
      <w:tr w:rsidR="004229ED">
        <w:trPr>
          <w:trHeight w:val="106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53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03.0000.367.02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B.67.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G 61.8, G 62.8, G 63.1, G 70, G 04.8, G 73.1, G 73.2, G 72.4, G 61.0, G 36.0, M 33.0, M 33.1, M 33.2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immunoglobulinami chorób neurologicznych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IMMUNOGLOBULINY</w:t>
            </w:r>
          </w:p>
        </w:tc>
      </w:tr>
      <w:tr w:rsidR="004229ED">
        <w:trPr>
          <w:trHeight w:val="106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lastRenderedPageBreak/>
              <w:t>54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03.0000.370.02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B.70.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H35.3, H36.0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pacjentów z chorobami siatkówki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AFLIBERCEPT, RANIBIZUMAB, BROLUCIZUMAB, BEWACYZUMAB, DEKSAMETAZON</w:t>
            </w:r>
          </w:p>
        </w:tc>
      </w:tr>
      <w:tr w:rsidR="004229ED">
        <w:trPr>
          <w:trHeight w:val="106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55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03.0000.371.02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B.71.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 18.2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terapią </w:t>
            </w:r>
            <w:proofErr w:type="spellStart"/>
            <w:r>
              <w:rPr>
                <w:b/>
                <w:sz w:val="16"/>
              </w:rPr>
              <w:t>bezinterferonową</w:t>
            </w:r>
            <w:proofErr w:type="spellEnd"/>
            <w:r>
              <w:rPr>
                <w:b/>
                <w:sz w:val="16"/>
              </w:rPr>
              <w:t xml:space="preserve"> chorych na przewlekłe wirusowe zapalenie wątroby typu C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LEDIPASWIR + SOFOSBUWIR, ELBASWIR + GRAZOPREWIR, SOFOSBUWIR + WELPATASWIR, GLECAPREWIR + PIBRENTASWIR, SOFOSBUWIR + WELPATASWIR + WOKSYLEPREWIR</w:t>
            </w:r>
          </w:p>
        </w:tc>
      </w:tr>
      <w:tr w:rsidR="004229ED">
        <w:trPr>
          <w:trHeight w:val="69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56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03.0000.373.02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B.73.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N 31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neurogennej </w:t>
            </w:r>
            <w:proofErr w:type="spellStart"/>
            <w:r>
              <w:rPr>
                <w:b/>
                <w:sz w:val="16"/>
              </w:rPr>
              <w:t>nadreaktywności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wypieracza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TOKSYNA BOTULINOWA TYPU A</w:t>
            </w:r>
          </w:p>
        </w:tc>
      </w:tr>
      <w:tr w:rsidR="004229ED">
        <w:trPr>
          <w:trHeight w:val="834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57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03.0000.374.02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B.74.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I 27, I 27.0 i/lub I 26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przewlekłego zakrzepowo-zatorowego nadciśnienia płucnego (CTEPH) 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RIOCYGUAT</w:t>
            </w:r>
          </w:p>
        </w:tc>
      </w:tr>
      <w:tr w:rsidR="004229ED">
        <w:trPr>
          <w:trHeight w:val="106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58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03.0000.375.02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B.75.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M 31.3, M 31.8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chorych na aktywną postać </w:t>
            </w:r>
            <w:proofErr w:type="spellStart"/>
            <w:r>
              <w:rPr>
                <w:b/>
                <w:sz w:val="16"/>
              </w:rPr>
              <w:t>ziarniniakowatości</w:t>
            </w:r>
            <w:proofErr w:type="spellEnd"/>
            <w:r>
              <w:rPr>
                <w:b/>
                <w:sz w:val="16"/>
              </w:rPr>
              <w:t xml:space="preserve"> z zapaleniem naczyń (GPA) lub mikroskopowe zapalenie naczyń (MPA)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RYTUKSYMAB</w:t>
            </w:r>
          </w:p>
        </w:tc>
      </w:tr>
      <w:tr w:rsidR="004229ED">
        <w:trPr>
          <w:trHeight w:val="54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59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03.0000.376.02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B.76.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E 70.2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</w:t>
            </w:r>
            <w:proofErr w:type="spellStart"/>
            <w:r>
              <w:rPr>
                <w:b/>
                <w:sz w:val="16"/>
              </w:rPr>
              <w:t>tyrozynemii</w:t>
            </w:r>
            <w:proofErr w:type="spellEnd"/>
            <w:r>
              <w:rPr>
                <w:b/>
                <w:sz w:val="16"/>
              </w:rPr>
              <w:t xml:space="preserve"> typu 1(HT-1)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NITYZYNON</w:t>
            </w:r>
          </w:p>
        </w:tc>
      </w:tr>
      <w:tr w:rsidR="004229ED">
        <w:trPr>
          <w:trHeight w:val="724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60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03.0000.377.02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B.77.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 81, C 84.5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chorych na </w:t>
            </w:r>
            <w:proofErr w:type="spellStart"/>
            <w:r>
              <w:rPr>
                <w:b/>
                <w:sz w:val="16"/>
              </w:rPr>
              <w:t>chłoniaki</w:t>
            </w:r>
            <w:proofErr w:type="spellEnd"/>
            <w:r>
              <w:rPr>
                <w:b/>
                <w:sz w:val="16"/>
              </w:rPr>
              <w:t xml:space="preserve"> CD30+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BRENTUKSYMAB VEDOTIN</w:t>
            </w:r>
          </w:p>
        </w:tc>
      </w:tr>
      <w:tr w:rsidR="004229ED">
        <w:trPr>
          <w:trHeight w:val="76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61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03.0000.379.02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B.79.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 91.1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przewlekłej białaczki limfocytowej obinutuzumabem</w:t>
            </w:r>
            <w:r>
              <w:rPr>
                <w:b/>
                <w:sz w:val="16"/>
                <w:vertAlign w:val="superscript"/>
              </w:rPr>
              <w:t xml:space="preserve">1 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OBINUTUZUMAB</w:t>
            </w:r>
          </w:p>
        </w:tc>
      </w:tr>
      <w:tr w:rsidR="004229ED">
        <w:trPr>
          <w:trHeight w:val="9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62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03.0000.381.02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B.81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D 47.1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</w:t>
            </w:r>
            <w:proofErr w:type="spellStart"/>
            <w:r>
              <w:rPr>
                <w:b/>
                <w:sz w:val="16"/>
              </w:rPr>
              <w:t>mielofibrozy</w:t>
            </w:r>
            <w:proofErr w:type="spellEnd"/>
            <w:r>
              <w:rPr>
                <w:b/>
                <w:sz w:val="16"/>
              </w:rPr>
              <w:t xml:space="preserve"> pierwotnej oraz </w:t>
            </w:r>
            <w:proofErr w:type="spellStart"/>
            <w:r>
              <w:rPr>
                <w:b/>
                <w:sz w:val="16"/>
              </w:rPr>
              <w:t>mielofibrozy</w:t>
            </w:r>
            <w:proofErr w:type="spellEnd"/>
            <w:r>
              <w:rPr>
                <w:b/>
                <w:sz w:val="16"/>
              </w:rPr>
              <w:t xml:space="preserve"> wtórnej w przebiegu czerwienicy prawdziwej i </w:t>
            </w:r>
            <w:proofErr w:type="spellStart"/>
            <w:r>
              <w:rPr>
                <w:b/>
                <w:sz w:val="16"/>
              </w:rPr>
              <w:t>nadpłytkowości</w:t>
            </w:r>
            <w:proofErr w:type="spellEnd"/>
            <w:r>
              <w:rPr>
                <w:b/>
                <w:sz w:val="16"/>
              </w:rPr>
              <w:t xml:space="preserve"> samoistnej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RUKSOLITYNIB, FEDRATYNIB</w:t>
            </w:r>
          </w:p>
        </w:tc>
      </w:tr>
      <w:tr w:rsidR="004229ED">
        <w:trPr>
          <w:trHeight w:val="9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63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03.0000.382.02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B.82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M 46.8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pacjentów z aktywną postacią </w:t>
            </w:r>
            <w:proofErr w:type="spellStart"/>
            <w:r>
              <w:rPr>
                <w:b/>
                <w:sz w:val="16"/>
              </w:rPr>
              <w:t>spondyloartropatii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SpA</w:t>
            </w:r>
            <w:proofErr w:type="spellEnd"/>
            <w:r>
              <w:rPr>
                <w:b/>
                <w:sz w:val="16"/>
              </w:rPr>
              <w:t>) bez zmian radiograficznych charakterystycznych dla ZZSK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CERTOLIZUMAB PEGOL, ETANERCEPT, IKSEKIZUMAB, SEKUKINUMAB</w:t>
            </w:r>
          </w:p>
        </w:tc>
      </w:tr>
      <w:tr w:rsidR="004229ED">
        <w:trPr>
          <w:trHeight w:val="9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lastRenderedPageBreak/>
              <w:t>64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03.0000.384.02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B.84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D 46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proofErr w:type="spellStart"/>
            <w:r>
              <w:rPr>
                <w:b/>
                <w:sz w:val="16"/>
              </w:rPr>
              <w:t>Lenalidomid</w:t>
            </w:r>
            <w:proofErr w:type="spellEnd"/>
            <w:r>
              <w:rPr>
                <w:b/>
                <w:sz w:val="16"/>
              </w:rPr>
              <w:t xml:space="preserve"> w leczeniu pacjentów z anemią zależną od przetoczeń w przebiegu zespołów </w:t>
            </w:r>
            <w:proofErr w:type="spellStart"/>
            <w:r>
              <w:rPr>
                <w:b/>
                <w:sz w:val="16"/>
              </w:rPr>
              <w:t>mielodysplastycznych</w:t>
            </w:r>
            <w:proofErr w:type="spellEnd"/>
            <w:r>
              <w:rPr>
                <w:b/>
                <w:sz w:val="16"/>
              </w:rPr>
              <w:t xml:space="preserve"> o niskim lub pośrednim-1 ryzyku, związanych z nieprawidłowością cytogenetyczną w postaci izolowanej delecji 5q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LENALIDOMID</w:t>
            </w:r>
          </w:p>
        </w:tc>
      </w:tr>
      <w:tr w:rsidR="004229ED">
        <w:trPr>
          <w:trHeight w:val="9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65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03.0000.385.02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B.85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 25.0, C 25.1,</w:t>
            </w:r>
          </w:p>
          <w:p w:rsidR="004229ED" w:rsidRDefault="00D84E33">
            <w:pPr>
              <w:jc w:val="center"/>
            </w:pPr>
            <w:r>
              <w:rPr>
                <w:sz w:val="16"/>
              </w:rPr>
              <w:t>C 25.2, C 25.3,</w:t>
            </w:r>
          </w:p>
          <w:p w:rsidR="004229ED" w:rsidRDefault="00D84E33">
            <w:pPr>
              <w:jc w:val="center"/>
            </w:pPr>
            <w:r>
              <w:rPr>
                <w:sz w:val="16"/>
              </w:rPr>
              <w:t>C 25.5, C 25.6,</w:t>
            </w:r>
          </w:p>
          <w:p w:rsidR="004229ED" w:rsidRDefault="00D84E33">
            <w:pPr>
              <w:jc w:val="center"/>
            </w:pPr>
            <w:r>
              <w:rPr>
                <w:sz w:val="16"/>
              </w:rPr>
              <w:t>C 25.7, C 25.8,</w:t>
            </w:r>
          </w:p>
          <w:p w:rsidR="004229ED" w:rsidRDefault="00D84E33">
            <w:pPr>
              <w:jc w:val="center"/>
            </w:pPr>
            <w:r>
              <w:rPr>
                <w:sz w:val="16"/>
              </w:rPr>
              <w:t>C 25.9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pacjentów z przerzutowym gruczolakorakiem trzustki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PAKLITAKSEL Z ALBUMINĄ</w:t>
            </w:r>
          </w:p>
        </w:tc>
      </w:tr>
      <w:tr w:rsidR="004229ED">
        <w:trPr>
          <w:trHeight w:val="9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66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03.0000.386.02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B.86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E 85, R 50.9, D 89.8, D 89.9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pacjentów z wrodzonymi zespołami </w:t>
            </w:r>
            <w:proofErr w:type="spellStart"/>
            <w:r>
              <w:rPr>
                <w:b/>
                <w:sz w:val="16"/>
              </w:rPr>
              <w:t>autozapalnymi</w:t>
            </w:r>
            <w:proofErr w:type="spellEnd"/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ANAKINRA</w:t>
            </w:r>
          </w:p>
        </w:tc>
      </w:tr>
      <w:tr w:rsidR="004229ED">
        <w:trPr>
          <w:trHeight w:val="9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67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03.0000.387.02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B.87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J 84.1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idiopatycznego włóknienia płuc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PIRFENIDON, NINTEDANIB</w:t>
            </w:r>
          </w:p>
        </w:tc>
      </w:tr>
      <w:tr w:rsidR="004229ED">
        <w:trPr>
          <w:trHeight w:val="9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68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03.0000.388.02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B.88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 44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chorych na zaawansowanego raka </w:t>
            </w:r>
            <w:proofErr w:type="spellStart"/>
            <w:r>
              <w:rPr>
                <w:b/>
                <w:sz w:val="16"/>
              </w:rPr>
              <w:t>podstawnokomórkowego</w:t>
            </w:r>
            <w:proofErr w:type="spellEnd"/>
            <w:r>
              <w:rPr>
                <w:b/>
                <w:sz w:val="16"/>
              </w:rPr>
              <w:t xml:space="preserve"> skóry </w:t>
            </w:r>
            <w:proofErr w:type="spellStart"/>
            <w:r>
              <w:rPr>
                <w:b/>
                <w:sz w:val="16"/>
              </w:rPr>
              <w:t>wismodegibem</w:t>
            </w:r>
            <w:proofErr w:type="spellEnd"/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WISMODEGIB</w:t>
            </w:r>
          </w:p>
        </w:tc>
      </w:tr>
      <w:tr w:rsidR="004229ED">
        <w:trPr>
          <w:trHeight w:val="9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69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03.0000.389.02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B.89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Q 85.1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</w:t>
            </w:r>
            <w:proofErr w:type="spellStart"/>
            <w:r>
              <w:rPr>
                <w:b/>
                <w:sz w:val="16"/>
              </w:rPr>
              <w:t>ewerolimusem</w:t>
            </w:r>
            <w:proofErr w:type="spellEnd"/>
            <w:r>
              <w:rPr>
                <w:b/>
                <w:sz w:val="16"/>
              </w:rPr>
              <w:t xml:space="preserve"> chorych na stwardnienie guzowate z niekwalifikującymi się do leczenia operacyjnego guzami podwyściółkowymi olbrzymiokomórkowymi (SEGA) 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EWEROLIMUS</w:t>
            </w:r>
          </w:p>
        </w:tc>
      </w:tr>
      <w:tr w:rsidR="004229ED">
        <w:trPr>
          <w:trHeight w:val="82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70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03.0000.390.02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B.90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G 20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zaburzeń motorycznych w przebiegu zaawansowanej choroby Parkinsona 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LEWODOPA + KARBIDOPA, APOMORFINA</w:t>
            </w:r>
          </w:p>
        </w:tc>
      </w:tr>
      <w:tr w:rsidR="004229ED">
        <w:trPr>
          <w:trHeight w:val="85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71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03.0000.392.02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B.92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 91.1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chorych na przewlekłą białaczkę limfocytową ibrutynibem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IBRUTYNIB</w:t>
            </w:r>
          </w:p>
        </w:tc>
      </w:tr>
      <w:tr w:rsidR="004229ED">
        <w:trPr>
          <w:trHeight w:val="84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72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03.0000.393.02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B.93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 83, C 85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chorych na </w:t>
            </w:r>
            <w:proofErr w:type="spellStart"/>
            <w:r>
              <w:rPr>
                <w:b/>
                <w:sz w:val="16"/>
              </w:rPr>
              <w:t>chłoniaki</w:t>
            </w:r>
            <w:proofErr w:type="spellEnd"/>
            <w:r>
              <w:rPr>
                <w:b/>
                <w:sz w:val="16"/>
              </w:rPr>
              <w:t xml:space="preserve"> rozlane z dużych komórek B oraz inne </w:t>
            </w:r>
            <w:proofErr w:type="spellStart"/>
            <w:r>
              <w:rPr>
                <w:b/>
                <w:sz w:val="16"/>
              </w:rPr>
              <w:t>chłoniaki</w:t>
            </w:r>
            <w:proofErr w:type="spellEnd"/>
            <w:r>
              <w:rPr>
                <w:b/>
                <w:sz w:val="16"/>
              </w:rPr>
              <w:t xml:space="preserve"> B-komórkowe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PIKSANTRON, TISAGENLECLEUCEL, AKSYKABTAGEN CYLOLEUCELU, POLATUZUMAB WEDOTYNY, LENALIDOMID</w:t>
            </w:r>
          </w:p>
        </w:tc>
      </w:tr>
      <w:tr w:rsidR="004229ED">
        <w:trPr>
          <w:trHeight w:val="8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lastRenderedPageBreak/>
              <w:t>73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03.0000.395.02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B.95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D 59.3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atypowego zespołu hemolityczno-mocznicowego (</w:t>
            </w:r>
            <w:proofErr w:type="spellStart"/>
            <w:r>
              <w:rPr>
                <w:b/>
                <w:sz w:val="16"/>
              </w:rPr>
              <w:t>aHUS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EKULIZUMAB</w:t>
            </w:r>
          </w:p>
        </w:tc>
      </w:tr>
      <w:tr w:rsidR="004229ED">
        <w:trPr>
          <w:trHeight w:val="82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74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03.0000.396.02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B.96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D 59.5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nocnej napadowej hemoglobinurii (PNH)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EKULIZUMAB</w:t>
            </w:r>
          </w:p>
        </w:tc>
      </w:tr>
      <w:tr w:rsidR="004229ED">
        <w:trPr>
          <w:trHeight w:val="82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75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03.0000.397.02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B.97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D 69.3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dorosłych chorych na pierwotną małopłytkowość immunologiczną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ELTROMBOPAG, ROMIPLOSTYM</w:t>
            </w:r>
          </w:p>
        </w:tc>
      </w:tr>
      <w:tr w:rsidR="004229ED">
        <w:trPr>
          <w:trHeight w:val="84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76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03.0000.398.02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B.98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D 69.3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pediatrycznych chorych na pierwotną małopłytkowość immunologiczną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ELTROMBOPAG, ROMIPLOSTYM</w:t>
            </w:r>
          </w:p>
        </w:tc>
      </w:tr>
      <w:tr w:rsidR="004229ED">
        <w:trPr>
          <w:trHeight w:val="69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77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03.0000.399.02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B.99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E 22.0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akromegalii 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PASYREOTYD, PEGWISOMANT</w:t>
            </w:r>
          </w:p>
        </w:tc>
      </w:tr>
      <w:tr w:rsidR="004229ED">
        <w:trPr>
          <w:trHeight w:val="91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78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03.0000.400.02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B.100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 81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chorych na oporną i nawrotową postać klasycznego </w:t>
            </w:r>
            <w:proofErr w:type="spellStart"/>
            <w:r>
              <w:rPr>
                <w:b/>
                <w:sz w:val="16"/>
              </w:rPr>
              <w:t>chłoniaka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Hodgkina</w:t>
            </w:r>
            <w:proofErr w:type="spellEnd"/>
            <w:r>
              <w:rPr>
                <w:b/>
                <w:sz w:val="16"/>
              </w:rPr>
              <w:t xml:space="preserve"> z zastosowaniem niwolumabu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NIWOLUMAB</w:t>
            </w:r>
          </w:p>
        </w:tc>
      </w:tr>
      <w:tr w:rsidR="004229ED">
        <w:trPr>
          <w:trHeight w:val="9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79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03.0000.401.02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B.101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E 78.01, I21, I22, I25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inhibitorami PCSK-9 pacjentów z zaburzeniami lipidowymi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ALIROKUMAB, EWOLOKUMAB</w:t>
            </w:r>
          </w:p>
        </w:tc>
      </w:tr>
      <w:tr w:rsidR="004229ED">
        <w:trPr>
          <w:trHeight w:val="84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80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03.0000.402.02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B.102</w:t>
            </w:r>
            <w:r w:rsidR="007B4804">
              <w:rPr>
                <w:sz w:val="16"/>
              </w:rPr>
              <w:t>.FM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G 12.0, G 12.1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 w:rsidP="00642A95">
            <w:pPr>
              <w:jc w:val="center"/>
            </w:pPr>
            <w:r>
              <w:rPr>
                <w:b/>
                <w:sz w:val="16"/>
              </w:rPr>
              <w:t xml:space="preserve">Leczenie </w:t>
            </w:r>
            <w:r w:rsidR="00026067">
              <w:rPr>
                <w:b/>
                <w:sz w:val="16"/>
              </w:rPr>
              <w:t xml:space="preserve">chorych na </w:t>
            </w:r>
            <w:r w:rsidR="00642A95">
              <w:rPr>
                <w:b/>
                <w:sz w:val="16"/>
              </w:rPr>
              <w:t xml:space="preserve">rdzeniowy </w:t>
            </w:r>
            <w:r>
              <w:rPr>
                <w:b/>
                <w:sz w:val="16"/>
              </w:rPr>
              <w:t>zanik mięśni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 w:rsidP="004D132B">
            <w:pPr>
              <w:jc w:val="center"/>
            </w:pPr>
            <w:r>
              <w:rPr>
                <w:sz w:val="16"/>
              </w:rPr>
              <w:t>NUSINERSEN</w:t>
            </w:r>
            <w:r w:rsidR="00E042D5">
              <w:rPr>
                <w:sz w:val="16"/>
              </w:rPr>
              <w:t xml:space="preserve">, </w:t>
            </w:r>
            <w:r w:rsidR="004D132B" w:rsidRPr="00E042D5">
              <w:rPr>
                <w:sz w:val="16"/>
              </w:rPr>
              <w:t>RYSDYPLAM</w:t>
            </w:r>
            <w:r w:rsidR="004D132B">
              <w:rPr>
                <w:sz w:val="16"/>
              </w:rPr>
              <w:t>,</w:t>
            </w:r>
            <w:r w:rsidR="004D132B" w:rsidRPr="00E042D5">
              <w:rPr>
                <w:sz w:val="16"/>
              </w:rPr>
              <w:t xml:space="preserve"> </w:t>
            </w:r>
            <w:r w:rsidR="00E042D5" w:rsidRPr="00E042D5">
              <w:rPr>
                <w:sz w:val="16"/>
              </w:rPr>
              <w:t>ONASEMNOGEN ABEPARWOWEK</w:t>
            </w:r>
            <w:r w:rsidR="004B7AC1" w:rsidRPr="004B7AC1">
              <w:rPr>
                <w:sz w:val="16"/>
                <w:vertAlign w:val="superscript"/>
              </w:rPr>
              <w:t>2</w:t>
            </w:r>
            <w:r w:rsidR="00E042D5">
              <w:rPr>
                <w:sz w:val="16"/>
              </w:rPr>
              <w:t xml:space="preserve"> </w:t>
            </w:r>
          </w:p>
        </w:tc>
      </w:tr>
      <w:tr w:rsidR="004229ED">
        <w:trPr>
          <w:trHeight w:val="90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81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03.0000.403.02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B.103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 91.1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chorych na przewlekłą białaczkę limfocytową wenetoklaksem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WENETOKLAKS</w:t>
            </w:r>
          </w:p>
        </w:tc>
      </w:tr>
      <w:tr w:rsidR="004229ED">
        <w:trPr>
          <w:trHeight w:val="76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82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03.0000.404.02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B.104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E 75.2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choroby </w:t>
            </w:r>
            <w:proofErr w:type="spellStart"/>
            <w:r>
              <w:rPr>
                <w:b/>
                <w:sz w:val="16"/>
              </w:rPr>
              <w:t>Fabry’ego</w:t>
            </w:r>
            <w:proofErr w:type="spellEnd"/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AGALZYDAZA ALFA, AGALZYDAZA BETA, MIGALASTATUM</w:t>
            </w:r>
          </w:p>
        </w:tc>
      </w:tr>
      <w:tr w:rsidR="004229ED">
        <w:trPr>
          <w:trHeight w:val="9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lastRenderedPageBreak/>
              <w:t>83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03.0000.405.02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B.105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H 20.0, H 30.0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zapalenia błony naczyniowej oka (ZBN) – część pośrednia, odcinek tylny lub cała błona naczyniowa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ADALIMUMAB</w:t>
            </w:r>
          </w:p>
        </w:tc>
      </w:tr>
      <w:tr w:rsidR="004229ED">
        <w:trPr>
          <w:trHeight w:val="9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84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03.0000.406.02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B.106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 18.0, B 18.1, B 18.9, B 19.0, B 19.9, C 22.0, C 82, C 83, C 85, C 90.0, C 91, C 92, D 45, D 47, D 75, Z 94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Profilaktyka reaktywacji wirusowego zapalenia wątroby typu b u świadczeniobiorców po przeszczepach lub u świadczeniobiorców otrzymujących leczenie związane z ryzykiem reaktywacji HBV 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ENTEKAWIR, TENOFOWIR</w:t>
            </w:r>
          </w:p>
        </w:tc>
      </w:tr>
      <w:tr w:rsidR="004229ED">
        <w:trPr>
          <w:trHeight w:val="82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85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03.0000.407.02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B.107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L 50.1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 w:rsidP="00F72C64">
            <w:pPr>
              <w:jc w:val="center"/>
            </w:pPr>
            <w:r>
              <w:rPr>
                <w:b/>
                <w:sz w:val="16"/>
              </w:rPr>
              <w:t xml:space="preserve">Leczenie </w:t>
            </w:r>
            <w:r w:rsidR="00F72C64">
              <w:rPr>
                <w:b/>
                <w:sz w:val="16"/>
              </w:rPr>
              <w:t xml:space="preserve">chorych z przewlekłą </w:t>
            </w:r>
            <w:r>
              <w:rPr>
                <w:b/>
                <w:sz w:val="16"/>
              </w:rPr>
              <w:t>pokrzywk</w:t>
            </w:r>
            <w:r w:rsidR="00F72C64">
              <w:rPr>
                <w:b/>
                <w:sz w:val="16"/>
              </w:rPr>
              <w:t>ą</w:t>
            </w:r>
            <w:r>
              <w:rPr>
                <w:b/>
                <w:sz w:val="16"/>
              </w:rPr>
              <w:t xml:space="preserve"> </w:t>
            </w:r>
            <w:r w:rsidR="00F72C64">
              <w:rPr>
                <w:b/>
                <w:sz w:val="16"/>
              </w:rPr>
              <w:t>spontaniczną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OMALIZUMAB</w:t>
            </w:r>
          </w:p>
        </w:tc>
      </w:tr>
      <w:tr w:rsidR="004229ED">
        <w:trPr>
          <w:trHeight w:val="9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86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03.0000.408.02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B.108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 73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agresywnego i objawowego, nieoperacyjnego, miejscowo zaawansowanego lub przerzutowego raka </w:t>
            </w:r>
            <w:proofErr w:type="spellStart"/>
            <w:r>
              <w:rPr>
                <w:b/>
                <w:sz w:val="16"/>
              </w:rPr>
              <w:t>rdzeniastego</w:t>
            </w:r>
            <w:proofErr w:type="spellEnd"/>
            <w:r>
              <w:rPr>
                <w:b/>
                <w:sz w:val="16"/>
              </w:rPr>
              <w:t xml:space="preserve"> tarczycy 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WANDETANIB</w:t>
            </w:r>
          </w:p>
        </w:tc>
      </w:tr>
      <w:tr w:rsidR="004229ED">
        <w:trPr>
          <w:trHeight w:val="9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87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03.0000.409.02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B.109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E 71.1, E 71.3, E 72.3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uzupełniające L-karnityną w wybranych chorobach metabolicznych 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L-KARNITYNA</w:t>
            </w:r>
          </w:p>
        </w:tc>
      </w:tr>
      <w:tr w:rsidR="004229ED">
        <w:trPr>
          <w:trHeight w:val="84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88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03.0000.410.02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B.110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C47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</w:t>
            </w:r>
            <w:proofErr w:type="spellStart"/>
            <w:r>
              <w:rPr>
                <w:b/>
                <w:sz w:val="16"/>
              </w:rPr>
              <w:t>dinutuksymabem</w:t>
            </w:r>
            <w:proofErr w:type="spellEnd"/>
            <w:r>
              <w:rPr>
                <w:b/>
                <w:sz w:val="16"/>
              </w:rPr>
              <w:t xml:space="preserve"> beta pacjentów z nerwiakiem zarodkowym współczulnym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DINUTUKSYMAB BETA</w:t>
            </w:r>
          </w:p>
        </w:tc>
      </w:tr>
      <w:tr w:rsidR="004229ED">
        <w:trPr>
          <w:trHeight w:val="9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89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03.0000.411.02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B.111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E23.0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ciężkiego niedoboru hormonu wzrostu u pacjentów dorosłych oraz u młodzieży po zakończeniu terapii promującej wzrastanie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SOMATOTROPINA</w:t>
            </w:r>
          </w:p>
        </w:tc>
      </w:tr>
      <w:tr w:rsidR="004229ED">
        <w:trPr>
          <w:trHeight w:val="9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90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03.0000.412.02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B.112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E84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chorych na mukowiscydozę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IWAKAFTOR, IWAKAFTOR + LUMAKAFTOR,</w:t>
            </w:r>
          </w:p>
          <w:p w:rsidR="004229ED" w:rsidRDefault="00D84E33">
            <w:pPr>
              <w:jc w:val="center"/>
            </w:pPr>
            <w:r>
              <w:rPr>
                <w:sz w:val="16"/>
              </w:rPr>
              <w:t>IWAKAFTOR + TEZAKAFTOR,</w:t>
            </w:r>
          </w:p>
          <w:p w:rsidR="004229ED" w:rsidRDefault="00D84E33">
            <w:pPr>
              <w:jc w:val="center"/>
            </w:pPr>
            <w:r>
              <w:rPr>
                <w:sz w:val="16"/>
              </w:rPr>
              <w:t>IWAKAFTOR + TEZAKAFTOR + ELEKSAKAFTOR</w:t>
            </w:r>
          </w:p>
        </w:tc>
      </w:tr>
      <w:tr w:rsidR="004229ED">
        <w:trPr>
          <w:trHeight w:val="79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91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03.0000.413.02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B.113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N18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pacjentów z chorobami nerek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KETOANALOGI AMINOKWASÓW</w:t>
            </w:r>
          </w:p>
        </w:tc>
      </w:tr>
      <w:tr w:rsidR="004229ED">
        <w:trPr>
          <w:trHeight w:val="79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92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03.0000.414.02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B.114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C92.0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chorych na ostrą białaczkę szpikową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MIDOSTAURYNA</w:t>
            </w:r>
            <w:r w:rsidR="00EC7F70">
              <w:rPr>
                <w:sz w:val="16"/>
              </w:rPr>
              <w:t xml:space="preserve">, </w:t>
            </w:r>
            <w:r w:rsidR="00EC7F70" w:rsidRPr="00EC7F70">
              <w:rPr>
                <w:sz w:val="16"/>
              </w:rPr>
              <w:t>GEMTUZUMAB OZOGAMYCYNY</w:t>
            </w:r>
            <w:r w:rsidR="00EC7F70">
              <w:rPr>
                <w:sz w:val="16"/>
              </w:rPr>
              <w:t xml:space="preserve">, </w:t>
            </w:r>
            <w:r w:rsidR="00EC7F70" w:rsidRPr="00EC7F70">
              <w:rPr>
                <w:sz w:val="16"/>
              </w:rPr>
              <w:t>GILTERYTYNIB</w:t>
            </w:r>
            <w:r w:rsidR="00955839">
              <w:rPr>
                <w:sz w:val="16"/>
              </w:rPr>
              <w:t xml:space="preserve">, </w:t>
            </w:r>
            <w:r w:rsidR="00653545" w:rsidRPr="00653545">
              <w:rPr>
                <w:sz w:val="16"/>
              </w:rPr>
              <w:t>WENETOKLAKS</w:t>
            </w:r>
          </w:p>
        </w:tc>
      </w:tr>
      <w:tr w:rsidR="004229ED">
        <w:trPr>
          <w:trHeight w:val="9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lastRenderedPageBreak/>
              <w:t>93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03.0000.415.02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B.115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C96.2, C94.3, D47.9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agresywnej </w:t>
            </w:r>
            <w:proofErr w:type="spellStart"/>
            <w:r>
              <w:rPr>
                <w:b/>
                <w:sz w:val="16"/>
              </w:rPr>
              <w:t>mastocytozy</w:t>
            </w:r>
            <w:proofErr w:type="spellEnd"/>
            <w:r>
              <w:rPr>
                <w:b/>
                <w:sz w:val="16"/>
              </w:rPr>
              <w:t xml:space="preserve"> układowej, </w:t>
            </w:r>
            <w:proofErr w:type="spellStart"/>
            <w:r>
              <w:rPr>
                <w:b/>
                <w:sz w:val="16"/>
              </w:rPr>
              <w:t>mastocytozy</w:t>
            </w:r>
            <w:proofErr w:type="spellEnd"/>
            <w:r>
              <w:rPr>
                <w:b/>
                <w:sz w:val="16"/>
              </w:rPr>
              <w:t xml:space="preserve"> układowej z współistniejącym nowotworem układu krwiotwórczego oraz białaczki mastocytarnej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MIDOSTAURYNA</w:t>
            </w:r>
          </w:p>
        </w:tc>
      </w:tr>
      <w:tr w:rsidR="004229ED">
        <w:trPr>
          <w:trHeight w:val="79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94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03.0000.417.02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B.117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C44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raka z komórek Merkla </w:t>
            </w:r>
            <w:proofErr w:type="spellStart"/>
            <w:r>
              <w:rPr>
                <w:b/>
                <w:sz w:val="16"/>
              </w:rPr>
              <w:t>awelumabem</w:t>
            </w:r>
            <w:proofErr w:type="spellEnd"/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AWELUMAB</w:t>
            </w:r>
          </w:p>
        </w:tc>
      </w:tr>
      <w:tr w:rsidR="004229ED">
        <w:trPr>
          <w:trHeight w:val="66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95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03.0000.418.02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B.118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E24.0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choroby Cushinga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PASYREOTYD</w:t>
            </w:r>
          </w:p>
        </w:tc>
      </w:tr>
      <w:tr w:rsidR="004229ED">
        <w:trPr>
          <w:trHeight w:val="9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96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03.0000.419.02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B.119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C73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pacjentów z postępującym, miejscowo zaawansowanym lub z przerzutami, zróżnicowanym (brodawkowatym/pęcherzykowym/ </w:t>
            </w:r>
            <w:proofErr w:type="spellStart"/>
            <w:r>
              <w:rPr>
                <w:b/>
                <w:sz w:val="16"/>
              </w:rPr>
              <w:t>oksyfilnym</w:t>
            </w:r>
            <w:proofErr w:type="spellEnd"/>
            <w:r>
              <w:rPr>
                <w:b/>
                <w:sz w:val="16"/>
              </w:rPr>
              <w:t xml:space="preserve"> - z komórek </w:t>
            </w:r>
            <w:proofErr w:type="spellStart"/>
            <w:r>
              <w:rPr>
                <w:b/>
                <w:sz w:val="16"/>
              </w:rPr>
              <w:t>Hürthle’a</w:t>
            </w:r>
            <w:proofErr w:type="spellEnd"/>
            <w:r>
              <w:rPr>
                <w:b/>
                <w:sz w:val="16"/>
              </w:rPr>
              <w:t>) rakiem tarczycy, opornym na leczenie jodem radioaktywnym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SORAFENIB</w:t>
            </w:r>
          </w:p>
        </w:tc>
      </w:tr>
      <w:tr w:rsidR="004229ED">
        <w:trPr>
          <w:trHeight w:val="9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97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03.0000.421.02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B.121.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G73.1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</w:t>
            </w:r>
            <w:proofErr w:type="spellStart"/>
            <w:r>
              <w:rPr>
                <w:b/>
                <w:sz w:val="16"/>
              </w:rPr>
              <w:t>amifamprydyną</w:t>
            </w:r>
            <w:proofErr w:type="spellEnd"/>
            <w:r>
              <w:rPr>
                <w:b/>
                <w:sz w:val="16"/>
              </w:rPr>
              <w:t xml:space="preserve"> pacjentów z zespołem miastenicznym Lamberta-Eatona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AMIFAMPRYDYNA</w:t>
            </w:r>
          </w:p>
        </w:tc>
      </w:tr>
      <w:tr w:rsidR="004229ED">
        <w:trPr>
          <w:trHeight w:val="9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98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03.0000.422.02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B.122.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D84.1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zapobiegawcze chorych z nawracającymi napadami dziedzicznego obrzęku naczynioruchowego o ciężkim przebiegu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LANADELUMAB</w:t>
            </w:r>
          </w:p>
        </w:tc>
      </w:tr>
      <w:tr w:rsidR="004229ED">
        <w:trPr>
          <w:trHeight w:val="69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99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03.0000.423.02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B.123.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E83.0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pacjentów z chorobą Wilsona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TRIENTYNA</w:t>
            </w:r>
          </w:p>
        </w:tc>
      </w:tr>
      <w:tr w:rsidR="004229ED">
        <w:trPr>
          <w:trHeight w:val="9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100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03.0000.424.02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B.124.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L20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chorych z ciężką postacią atopowego zapalenia skóry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DUPILUMAB</w:t>
            </w:r>
          </w:p>
        </w:tc>
      </w:tr>
      <w:tr w:rsidR="004229ED">
        <w:trPr>
          <w:trHeight w:val="9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101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03.0000.425.02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B.125.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C44.1, C44.2, C44.3, C44.4, C44.5, C44.6, C44.7, C44.8, C44.9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chorych na zaawansowanego raka </w:t>
            </w:r>
            <w:proofErr w:type="spellStart"/>
            <w:r>
              <w:rPr>
                <w:b/>
                <w:sz w:val="16"/>
              </w:rPr>
              <w:t>kolczystokomórkowego</w:t>
            </w:r>
            <w:proofErr w:type="spellEnd"/>
            <w:r>
              <w:rPr>
                <w:b/>
                <w:sz w:val="16"/>
              </w:rPr>
              <w:t xml:space="preserve"> skóry </w:t>
            </w:r>
            <w:proofErr w:type="spellStart"/>
            <w:r>
              <w:rPr>
                <w:b/>
                <w:sz w:val="16"/>
              </w:rPr>
              <w:t>cemiplimabem</w:t>
            </w:r>
            <w:proofErr w:type="spellEnd"/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CEMIPLIMAB</w:t>
            </w:r>
          </w:p>
        </w:tc>
      </w:tr>
      <w:tr w:rsidR="004229ED">
        <w:trPr>
          <w:trHeight w:val="79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102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03.0000.426.02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B.126.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Q61.2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pacjentów z autosomalnie dominującą postacią zwyrodnienia wielotorbielowatego nerek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TOLWAPTAN</w:t>
            </w:r>
          </w:p>
        </w:tc>
      </w:tr>
      <w:tr w:rsidR="004229ED">
        <w:trPr>
          <w:trHeight w:val="82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lastRenderedPageBreak/>
              <w:t>103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03.0000.427.02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B.127.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D61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dorosłych chorych na ciężką anemię </w:t>
            </w:r>
            <w:proofErr w:type="spellStart"/>
            <w:r>
              <w:rPr>
                <w:b/>
                <w:sz w:val="16"/>
              </w:rPr>
              <w:t>aplastyczną</w:t>
            </w:r>
            <w:proofErr w:type="spellEnd"/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ELTROMBOPAG</w:t>
            </w:r>
          </w:p>
        </w:tc>
      </w:tr>
      <w:tr w:rsidR="004229ED">
        <w:trPr>
          <w:trHeight w:val="9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104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03.0000.428.02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B.128.FM.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E80.2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chorych na ostrą porfirię wątrobową (AHP) u dorosłych i  młodzieży w wieku od 12 lat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GIWOSYRAN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4229ED">
        <w:trPr>
          <w:trHeight w:val="70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105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03.0000.429.02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B.129.FM.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E74.8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Leczenie chorych na pierwotną hiperoksalurię typu 1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LUMAZYRAN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4229ED">
        <w:trPr>
          <w:trHeight w:val="9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106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03.0000.430.02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B.130.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G71.0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chorych z dystrofią mięśniową </w:t>
            </w:r>
            <w:proofErr w:type="spellStart"/>
            <w:r>
              <w:rPr>
                <w:b/>
                <w:sz w:val="16"/>
              </w:rPr>
              <w:t>Duchenne’a</w:t>
            </w:r>
            <w:proofErr w:type="spellEnd"/>
            <w:r>
              <w:rPr>
                <w:b/>
                <w:sz w:val="16"/>
              </w:rPr>
              <w:t xml:space="preserve"> spowodowaną mutacją nonsensowną w genie dystrofiny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ATALUREN</w:t>
            </w:r>
          </w:p>
        </w:tc>
      </w:tr>
      <w:tr w:rsidR="004229ED">
        <w:trPr>
          <w:trHeight w:val="9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107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03.0000.431.02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B.131.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D.47.7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pacjentów z idiopatyczną wieloogniskową chorobą </w:t>
            </w:r>
            <w:proofErr w:type="spellStart"/>
            <w:r>
              <w:rPr>
                <w:b/>
                <w:sz w:val="16"/>
              </w:rPr>
              <w:t>Castlemana</w:t>
            </w:r>
            <w:proofErr w:type="spellEnd"/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SILTUKSYMAB</w:t>
            </w:r>
          </w:p>
        </w:tc>
      </w:tr>
      <w:tr w:rsidR="004229ED">
        <w:trPr>
          <w:trHeight w:val="169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108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03.0000.432.02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B.132.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C81, C82, C83, C84, C85, C88, C90, C91, C92, C93, C94, C95, C96, C45, D46, D47, D56, D57, D58, D61, D75, D80, D81, D82, D84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Stosowanie </w:t>
            </w:r>
            <w:proofErr w:type="spellStart"/>
            <w:r>
              <w:rPr>
                <w:b/>
                <w:sz w:val="16"/>
              </w:rPr>
              <w:t>letermowiru</w:t>
            </w:r>
            <w:proofErr w:type="spellEnd"/>
            <w:r>
              <w:rPr>
                <w:b/>
                <w:sz w:val="16"/>
              </w:rPr>
              <w:t xml:space="preserve"> w celu zapobiegania reaktywacji </w:t>
            </w:r>
            <w:proofErr w:type="spellStart"/>
            <w:r>
              <w:rPr>
                <w:b/>
                <w:sz w:val="16"/>
              </w:rPr>
              <w:t>cytomegalowirusa</w:t>
            </w:r>
            <w:proofErr w:type="spellEnd"/>
            <w:r>
              <w:rPr>
                <w:b/>
                <w:sz w:val="16"/>
              </w:rPr>
              <w:t xml:space="preserve"> (CMV) i rozwojowi choroby u dorosłych, seropozytywnych względem CMV pacjentów, którzy byli poddani zabiegowi przeszczepienia allogenicznych krwiotwórczych komórek macierzystych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LETERMOWIR</w:t>
            </w:r>
          </w:p>
        </w:tc>
      </w:tr>
      <w:tr w:rsidR="004229ED">
        <w:trPr>
          <w:trHeight w:val="9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109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03.0000.433.02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B.133.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G43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>Profilaktyczne leczenie chorych na migrenę przewlekłą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ERENUMAB, FREMANEZUMAB, TOKSYNA BOTULINOWA TYPU A</w:t>
            </w:r>
          </w:p>
        </w:tc>
      </w:tr>
      <w:tr w:rsidR="004229ED">
        <w:trPr>
          <w:trHeight w:val="115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110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03.0000.434.02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B.134.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C18, C19, C20, C34, C50, C61, C64, C67, C79.5, C90.0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Zapobieganie powikłaniom kostnym u dorosłych pacjentów z zaawansowanym procesem nowotworowym obejmującym kości z zastosowaniem </w:t>
            </w:r>
            <w:proofErr w:type="spellStart"/>
            <w:r>
              <w:rPr>
                <w:b/>
                <w:sz w:val="16"/>
              </w:rPr>
              <w:t>denosumabu</w:t>
            </w:r>
            <w:proofErr w:type="spellEnd"/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DENOSUMAB</w:t>
            </w:r>
          </w:p>
        </w:tc>
      </w:tr>
      <w:tr w:rsidR="004229ED">
        <w:trPr>
          <w:trHeight w:val="9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111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03.0000.435.02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B.135.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M34, J.99.1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b/>
                <w:sz w:val="16"/>
              </w:rPr>
              <w:t xml:space="preserve">Leczenie </w:t>
            </w:r>
            <w:proofErr w:type="spellStart"/>
            <w:r>
              <w:rPr>
                <w:b/>
                <w:sz w:val="16"/>
              </w:rPr>
              <w:t>nintedanibem</w:t>
            </w:r>
            <w:proofErr w:type="spellEnd"/>
            <w:r>
              <w:rPr>
                <w:b/>
                <w:sz w:val="16"/>
              </w:rPr>
              <w:t xml:space="preserve"> choroby śródmiąższowej płuc związanej z twardziną układową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ED" w:rsidRDefault="00D84E33">
            <w:pPr>
              <w:jc w:val="center"/>
            </w:pPr>
            <w:r>
              <w:rPr>
                <w:sz w:val="16"/>
              </w:rPr>
              <w:t>NINTEDANIB</w:t>
            </w:r>
          </w:p>
        </w:tc>
      </w:tr>
      <w:tr w:rsidR="00115D3C">
        <w:trPr>
          <w:trHeight w:val="9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3C" w:rsidRDefault="00115D3C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112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D3C" w:rsidRDefault="00115D3C" w:rsidP="00115D3C">
            <w:pPr>
              <w:jc w:val="center"/>
              <w:rPr>
                <w:sz w:val="16"/>
              </w:rPr>
            </w:pPr>
            <w:r w:rsidRPr="00115D3C">
              <w:rPr>
                <w:sz w:val="16"/>
              </w:rPr>
              <w:t>03.0000.43</w:t>
            </w:r>
            <w:r>
              <w:rPr>
                <w:sz w:val="16"/>
              </w:rPr>
              <w:t>6</w:t>
            </w:r>
            <w:r w:rsidRPr="00115D3C">
              <w:rPr>
                <w:sz w:val="16"/>
              </w:rPr>
              <w:t>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D3C" w:rsidRDefault="00115D3C">
            <w:pPr>
              <w:jc w:val="center"/>
              <w:rPr>
                <w:sz w:val="16"/>
              </w:rPr>
            </w:pPr>
            <w:r w:rsidRPr="00115D3C">
              <w:rPr>
                <w:sz w:val="16"/>
              </w:rPr>
              <w:t>B.136.FM.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D3C" w:rsidRDefault="00115D3C">
            <w:pPr>
              <w:jc w:val="center"/>
              <w:rPr>
                <w:sz w:val="16"/>
              </w:rPr>
            </w:pPr>
            <w:r w:rsidRPr="00115D3C">
              <w:rPr>
                <w:sz w:val="16"/>
              </w:rPr>
              <w:t>A15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D3C" w:rsidRDefault="00115D3C">
            <w:pPr>
              <w:jc w:val="center"/>
              <w:rPr>
                <w:b/>
                <w:sz w:val="16"/>
              </w:rPr>
            </w:pPr>
            <w:r w:rsidRPr="00115D3C">
              <w:rPr>
                <w:b/>
                <w:sz w:val="16"/>
              </w:rPr>
              <w:t>Leczenie chorych na gruźlicę lekooporną (MDR/XDR)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D3C" w:rsidRDefault="00115D3C">
            <w:pPr>
              <w:jc w:val="center"/>
              <w:rPr>
                <w:sz w:val="16"/>
              </w:rPr>
            </w:pPr>
            <w:r w:rsidRPr="00115D3C">
              <w:rPr>
                <w:sz w:val="16"/>
              </w:rPr>
              <w:t>BEDAKILINA</w:t>
            </w:r>
            <w:r>
              <w:rPr>
                <w:sz w:val="16"/>
              </w:rPr>
              <w:t xml:space="preserve">, </w:t>
            </w:r>
            <w:r w:rsidRPr="00115D3C">
              <w:rPr>
                <w:sz w:val="16"/>
              </w:rPr>
              <w:t>PRETOMANID</w:t>
            </w:r>
            <w:r w:rsidR="004B7AC1" w:rsidRPr="004B7AC1">
              <w:rPr>
                <w:sz w:val="16"/>
                <w:vertAlign w:val="superscript"/>
              </w:rPr>
              <w:t>2</w:t>
            </w:r>
          </w:p>
        </w:tc>
      </w:tr>
      <w:tr w:rsidR="00115D3C">
        <w:trPr>
          <w:trHeight w:val="9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3C" w:rsidRDefault="00115D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8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D3C" w:rsidRDefault="00115D3C">
            <w:pPr>
              <w:jc w:val="center"/>
              <w:rPr>
                <w:sz w:val="16"/>
              </w:rPr>
            </w:pPr>
            <w:r w:rsidRPr="00115D3C">
              <w:rPr>
                <w:sz w:val="16"/>
              </w:rPr>
              <w:t>03.000</w:t>
            </w:r>
            <w:r>
              <w:rPr>
                <w:sz w:val="16"/>
              </w:rPr>
              <w:t>0.437</w:t>
            </w:r>
            <w:r w:rsidRPr="00115D3C">
              <w:rPr>
                <w:sz w:val="16"/>
              </w:rPr>
              <w:t>.02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D3C" w:rsidRDefault="00115D3C">
            <w:pPr>
              <w:jc w:val="center"/>
              <w:rPr>
                <w:sz w:val="16"/>
              </w:rPr>
            </w:pPr>
            <w:r w:rsidRPr="00115D3C">
              <w:rPr>
                <w:sz w:val="16"/>
              </w:rPr>
              <w:t>B.137.FM.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D3C" w:rsidRDefault="00115D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N18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D3C" w:rsidRDefault="00115D3C">
            <w:pPr>
              <w:jc w:val="center"/>
              <w:rPr>
                <w:b/>
                <w:sz w:val="16"/>
              </w:rPr>
            </w:pPr>
            <w:r w:rsidRPr="00115D3C">
              <w:rPr>
                <w:b/>
                <w:sz w:val="16"/>
              </w:rPr>
              <w:t>Odczulanie wysoko immunizowanych dorosłych potencjalnych biorców przeszczepu nerki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D3C" w:rsidRDefault="00115D3C">
            <w:pPr>
              <w:jc w:val="center"/>
              <w:rPr>
                <w:sz w:val="16"/>
              </w:rPr>
            </w:pPr>
            <w:r w:rsidRPr="00115D3C">
              <w:rPr>
                <w:sz w:val="16"/>
              </w:rPr>
              <w:t>IMLIFIDAZA</w:t>
            </w:r>
            <w:r w:rsidR="004B7AC1" w:rsidRPr="004B7AC1">
              <w:rPr>
                <w:sz w:val="16"/>
                <w:vertAlign w:val="superscript"/>
              </w:rPr>
              <w:t>2</w:t>
            </w:r>
          </w:p>
        </w:tc>
      </w:tr>
      <w:tr w:rsidR="004229ED">
        <w:trPr>
          <w:trHeight w:val="402"/>
        </w:trPr>
        <w:tc>
          <w:tcPr>
            <w:tcW w:w="150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9ED" w:rsidRDefault="00D84E33">
            <w:pPr>
              <w:jc w:val="left"/>
            </w:pPr>
            <w:r>
              <w:rPr>
                <w:sz w:val="16"/>
                <w:vertAlign w:val="superscript"/>
              </w:rPr>
              <w:t xml:space="preserve">1 </w:t>
            </w:r>
            <w:r>
              <w:rPr>
                <w:sz w:val="16"/>
              </w:rPr>
              <w:t>– program lekowy, do którego ma zastosowanie przepis § 23 ust. 4 zarządzenia</w:t>
            </w:r>
          </w:p>
        </w:tc>
      </w:tr>
      <w:tr w:rsidR="004229ED">
        <w:trPr>
          <w:trHeight w:val="415"/>
        </w:trPr>
        <w:tc>
          <w:tcPr>
            <w:tcW w:w="150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9ED" w:rsidRDefault="00D84E33">
            <w:pPr>
              <w:jc w:val="left"/>
            </w:pP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– technologia lekowa o wysokim poziomie innowacyjności - technologia lekowa, o której mowa w art. 2 pkt 24b ustawy o refundacji</w:t>
            </w:r>
          </w:p>
        </w:tc>
      </w:tr>
    </w:tbl>
    <w:p w:rsidR="004229ED" w:rsidRDefault="004229ED"/>
    <w:sectPr w:rsidR="004229ED">
      <w:endnotePr>
        <w:numFmt w:val="decimal"/>
      </w:endnotePr>
      <w:pgSz w:w="16838" w:h="11906" w:orient="landscape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4229ED"/>
    <w:rsid w:val="00026067"/>
    <w:rsid w:val="00115D3C"/>
    <w:rsid w:val="001F52BE"/>
    <w:rsid w:val="003540F8"/>
    <w:rsid w:val="004229ED"/>
    <w:rsid w:val="004B7AC1"/>
    <w:rsid w:val="004D132B"/>
    <w:rsid w:val="005B053A"/>
    <w:rsid w:val="00642A95"/>
    <w:rsid w:val="00653545"/>
    <w:rsid w:val="007B4804"/>
    <w:rsid w:val="00800D32"/>
    <w:rsid w:val="00821811"/>
    <w:rsid w:val="00955839"/>
    <w:rsid w:val="00D84E33"/>
    <w:rsid w:val="00DA3725"/>
    <w:rsid w:val="00E042D5"/>
    <w:rsid w:val="00EC7F70"/>
    <w:rsid w:val="00F030EE"/>
    <w:rsid w:val="00F7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00BA"/>
  <w15:docId w15:val="{0AA84987-2194-49EA-A835-D286B50B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D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2523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NFZ</Company>
  <LinksUpToDate>false</LinksUpToDate>
  <CharactersWithSpaces>17629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 sprawie określenia warunków zawierania i realizacji umów w rodzaju leczenie szpitalne w zakresie programy lekowe</dc:subject>
  <dc:creator>alicja.michalak</dc:creator>
  <cp:lastModifiedBy>Rodak Agata</cp:lastModifiedBy>
  <cp:revision>34</cp:revision>
  <dcterms:created xsi:type="dcterms:W3CDTF">2022-07-21T13:36:00Z</dcterms:created>
  <dcterms:modified xsi:type="dcterms:W3CDTF">2022-08-30T09:24:00Z</dcterms:modified>
  <cp:category>Akt prawny</cp:category>
</cp:coreProperties>
</file>