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0EA2" w14:textId="77777777" w:rsidR="00A803E7" w:rsidRPr="00DC6133" w:rsidRDefault="00A803E7" w:rsidP="00A803E7">
      <w:pPr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24"/>
        <w:gridCol w:w="46"/>
        <w:gridCol w:w="118"/>
        <w:gridCol w:w="151"/>
        <w:gridCol w:w="300"/>
        <w:gridCol w:w="292"/>
        <w:gridCol w:w="278"/>
        <w:gridCol w:w="570"/>
        <w:gridCol w:w="60"/>
        <w:gridCol w:w="20"/>
        <w:gridCol w:w="490"/>
        <w:gridCol w:w="113"/>
        <w:gridCol w:w="284"/>
        <w:gridCol w:w="172"/>
        <w:gridCol w:w="266"/>
        <w:gridCol w:w="304"/>
        <w:gridCol w:w="165"/>
        <w:gridCol w:w="405"/>
        <w:gridCol w:w="503"/>
        <w:gridCol w:w="67"/>
        <w:gridCol w:w="1537"/>
        <w:gridCol w:w="10"/>
      </w:tblGrid>
      <w:tr w:rsidR="00A803E7" w:rsidRPr="00DC6133" w14:paraId="28626F9F" w14:textId="77777777" w:rsidTr="00F555A5">
        <w:trPr>
          <w:gridAfter w:val="1"/>
          <w:wAfter w:w="10" w:type="dxa"/>
          <w:trHeight w:val="1611"/>
          <w:jc w:val="center"/>
        </w:trPr>
        <w:tc>
          <w:tcPr>
            <w:tcW w:w="6631" w:type="dxa"/>
            <w:gridSpan w:val="18"/>
          </w:tcPr>
          <w:p w14:paraId="403D32F2" w14:textId="77777777" w:rsidR="00A803E7" w:rsidRPr="00DC6133" w:rsidRDefault="00A803E7" w:rsidP="00A803E7">
            <w:pPr>
              <w:spacing w:before="60" w:after="60" w:line="240" w:lineRule="auto"/>
              <w:ind w:hanging="45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t1"/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Nazwa projektu</w:t>
            </w:r>
          </w:p>
          <w:p w14:paraId="06D85372" w14:textId="09245846" w:rsidR="00A803E7" w:rsidRPr="00DC6133" w:rsidRDefault="00A803E7" w:rsidP="00A803E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Rozporządzenie</w:t>
            </w:r>
            <w:r w:rsidRPr="00DC6133">
              <w:rPr>
                <w:rFonts w:ascii="Times New Roman" w:eastAsia="Times New Roman" w:hAnsi="Times New Roman" w:cs="Times New Roman"/>
                <w:lang w:eastAsia="pl-PL"/>
              </w:rPr>
              <w:t xml:space="preserve"> Ministra Zdrowia </w:t>
            </w:r>
            <w:r w:rsidR="00F3527F" w:rsidRPr="00F3527F">
              <w:rPr>
                <w:rFonts w:ascii="Times New Roman" w:eastAsia="Calibri" w:hAnsi="Times New Roman" w:cs="Times New Roman"/>
                <w:color w:val="000000"/>
              </w:rPr>
              <w:t>w sprawie warunków bezpiecznego stosowania promieniowania jonizującego dla wszystkich rodzajów ekspozycji medycznej</w:t>
            </w:r>
          </w:p>
          <w:p w14:paraId="3405F49D" w14:textId="77777777" w:rsidR="00A803E7" w:rsidRPr="00DC6133" w:rsidRDefault="00A803E7" w:rsidP="00A803E7">
            <w:pPr>
              <w:spacing w:before="120" w:after="6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385E75A" w14:textId="525B37BE" w:rsidR="00A803E7" w:rsidRPr="00DC6133" w:rsidRDefault="00A803E7" w:rsidP="00A803E7">
            <w:pPr>
              <w:spacing w:before="60" w:after="6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Ministerstwo Zdrowia</w:t>
            </w:r>
            <w:r w:rsidR="00F3527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23094A01" w14:textId="77777777" w:rsidR="00A803E7" w:rsidRPr="00DC6133" w:rsidRDefault="00A803E7" w:rsidP="00A803E7">
            <w:pPr>
              <w:spacing w:before="120" w:after="60" w:line="240" w:lineRule="auto"/>
              <w:ind w:hanging="45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Osoba</w:t>
            </w:r>
            <w:r w:rsidRPr="00DC6133">
              <w:rPr>
                <w:rFonts w:ascii="Times New Roman" w:eastAsia="Calibri" w:hAnsi="Times New Roman" w:cs="Times New Roman"/>
                <w:b/>
              </w:rPr>
              <w:t xml:space="preserve"> odpowiedzialna za projekt w randze Ministra, Sekretarza Stanu lub Podsekretarza Stanu </w:t>
            </w:r>
          </w:p>
          <w:p w14:paraId="705EF87F" w14:textId="77777777" w:rsidR="00DC6133" w:rsidRPr="00DC6133" w:rsidRDefault="00DC6133" w:rsidP="00A803E7">
            <w:pPr>
              <w:spacing w:before="12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</w:rPr>
              <w:t xml:space="preserve">Waldemar Kraska – Sekretarz Stanu w Ministerstwie Zdrowia </w:t>
            </w:r>
          </w:p>
          <w:p w14:paraId="6CC6E415" w14:textId="42A28898" w:rsidR="00A803E7" w:rsidRPr="00DC6133" w:rsidRDefault="00A803E7" w:rsidP="00A803E7">
            <w:pPr>
              <w:spacing w:before="120" w:after="6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</w:rPr>
              <w:t>Kontakt</w:t>
            </w: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do opiekuna merytorycznego projektu</w:t>
            </w:r>
          </w:p>
          <w:p w14:paraId="2516D9E3" w14:textId="07AFA1B6" w:rsidR="00DC6133" w:rsidRPr="00DC6133" w:rsidRDefault="00DC6133" w:rsidP="00DC6133">
            <w:pPr>
              <w:spacing w:before="60" w:after="6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Dariusz Poznański – Dyrektor Departamentu Zdrowia Publicznego Ministerstwa Zdrowia</w:t>
            </w:r>
            <w:r w:rsidR="002A7342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14:paraId="2EDFFF51" w14:textId="61190DD8" w:rsidR="002A7342" w:rsidRPr="00867859" w:rsidRDefault="002A7342" w:rsidP="002A7342">
            <w:pPr>
              <w:spacing w:before="60" w:after="60" w:line="240" w:lineRule="auto"/>
              <w:ind w:hanging="34"/>
              <w:rPr>
                <w:rFonts w:ascii="Times New Roman" w:eastAsia="Calibri" w:hAnsi="Times New Roman" w:cs="Times New Roman"/>
                <w:color w:val="000000"/>
                <w:lang w:val="en-GB"/>
              </w:rPr>
            </w:pPr>
            <w:proofErr w:type="spellStart"/>
            <w:r w:rsidRPr="00867859">
              <w:rPr>
                <w:rFonts w:ascii="Times New Roman" w:eastAsia="Calibri" w:hAnsi="Times New Roman" w:cs="Times New Roman"/>
                <w:color w:val="000000"/>
                <w:lang w:val="en-GB"/>
              </w:rPr>
              <w:t>t</w:t>
            </w:r>
            <w:r w:rsidR="00DC6133" w:rsidRPr="00867859">
              <w:rPr>
                <w:rFonts w:ascii="Times New Roman" w:eastAsia="Calibri" w:hAnsi="Times New Roman" w:cs="Times New Roman"/>
                <w:color w:val="000000"/>
                <w:lang w:val="en-GB"/>
              </w:rPr>
              <w:t>elefon</w:t>
            </w:r>
            <w:proofErr w:type="spellEnd"/>
            <w:r w:rsidR="00DC6133" w:rsidRPr="00867859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: +48 22 530 03 18, </w:t>
            </w:r>
            <w:r w:rsidRPr="00867859">
              <w:rPr>
                <w:rFonts w:ascii="Times New Roman" w:eastAsia="Calibri" w:hAnsi="Times New Roman" w:cs="Times New Roman"/>
                <w:color w:val="000000"/>
                <w:lang w:val="en-GB"/>
              </w:rPr>
              <w:t>e-</w:t>
            </w:r>
            <w:r w:rsidR="00DC6133" w:rsidRPr="00867859">
              <w:rPr>
                <w:rFonts w:ascii="Times New Roman" w:eastAsia="Calibri" w:hAnsi="Times New Roman" w:cs="Times New Roman"/>
                <w:color w:val="000000"/>
                <w:lang w:val="en-GB"/>
              </w:rPr>
              <w:t xml:space="preserve">mail: </w:t>
            </w:r>
            <w:hyperlink r:id="rId8" w:history="1">
              <w:r w:rsidRPr="00867859">
                <w:rPr>
                  <w:rStyle w:val="Hipercze"/>
                  <w:rFonts w:ascii="Times New Roman" w:eastAsia="Calibri" w:hAnsi="Times New Roman" w:cs="Times New Roman"/>
                  <w:lang w:val="en-GB"/>
                </w:rPr>
                <w:t>dep-zp@mz.gov.pl</w:t>
              </w:r>
            </w:hyperlink>
            <w:r w:rsidRPr="00867859">
              <w:rPr>
                <w:rFonts w:ascii="Times New Roman" w:eastAsia="Calibri" w:hAnsi="Times New Roman" w:cs="Times New Roman"/>
                <w:color w:val="000000"/>
                <w:lang w:val="en-GB"/>
              </w:rPr>
              <w:t>.</w:t>
            </w:r>
          </w:p>
        </w:tc>
        <w:tc>
          <w:tcPr>
            <w:tcW w:w="4306" w:type="dxa"/>
            <w:gridSpan w:val="11"/>
            <w:shd w:val="clear" w:color="auto" w:fill="FFFFFF"/>
          </w:tcPr>
          <w:p w14:paraId="6252A522" w14:textId="77777777" w:rsidR="00A803E7" w:rsidRPr="00DC6133" w:rsidRDefault="00A803E7" w:rsidP="00A803E7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C6133">
              <w:rPr>
                <w:rFonts w:ascii="Times New Roman" w:eastAsia="Calibri" w:hAnsi="Times New Roman" w:cs="Times New Roman"/>
                <w:b/>
              </w:rPr>
              <w:t xml:space="preserve">Data sporządzenia: </w:t>
            </w:r>
          </w:p>
          <w:p w14:paraId="1795F9F9" w14:textId="5C07669C" w:rsidR="00A803E7" w:rsidRPr="00DC6133" w:rsidRDefault="00F54883" w:rsidP="00A803E7">
            <w:pPr>
              <w:spacing w:before="60" w:after="6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  <w:r w:rsidR="00E3373D">
              <w:rPr>
                <w:rFonts w:ascii="Times New Roman" w:eastAsia="Calibri" w:hAnsi="Times New Roman" w:cs="Times New Roman"/>
                <w:bCs/>
              </w:rPr>
              <w:t>.</w:t>
            </w:r>
            <w:r w:rsidR="0066263F">
              <w:rPr>
                <w:rFonts w:ascii="Times New Roman" w:eastAsia="Calibri" w:hAnsi="Times New Roman" w:cs="Times New Roman"/>
                <w:bCs/>
              </w:rPr>
              <w:t>0</w:t>
            </w:r>
            <w:r w:rsidR="009A03F6">
              <w:rPr>
                <w:rFonts w:ascii="Times New Roman" w:eastAsia="Calibri" w:hAnsi="Times New Roman" w:cs="Times New Roman"/>
                <w:bCs/>
              </w:rPr>
              <w:t>6</w:t>
            </w:r>
            <w:r w:rsidR="00A803E7" w:rsidRPr="00DC6133">
              <w:rPr>
                <w:rFonts w:ascii="Times New Roman" w:eastAsia="Calibri" w:hAnsi="Times New Roman" w:cs="Times New Roman"/>
                <w:bCs/>
              </w:rPr>
              <w:t>.202</w:t>
            </w:r>
            <w:r w:rsidR="0066263F">
              <w:rPr>
                <w:rFonts w:ascii="Times New Roman" w:eastAsia="Calibri" w:hAnsi="Times New Roman" w:cs="Times New Roman"/>
                <w:bCs/>
              </w:rPr>
              <w:t>2</w:t>
            </w:r>
          </w:p>
          <w:p w14:paraId="6FA37928" w14:textId="77777777" w:rsidR="00A803E7" w:rsidRPr="00DC6133" w:rsidRDefault="00A803E7" w:rsidP="00A803E7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14:paraId="6D6BDA1B" w14:textId="77777777" w:rsidR="00A803E7" w:rsidRPr="00DC6133" w:rsidRDefault="00A803E7" w:rsidP="00A803E7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C6133">
              <w:rPr>
                <w:rFonts w:ascii="Times New Roman" w:eastAsia="Calibri" w:hAnsi="Times New Roman" w:cs="Times New Roman"/>
                <w:b/>
              </w:rPr>
              <w:t xml:space="preserve">Źródło: </w:t>
            </w:r>
            <w:bookmarkStart w:id="1" w:name="Lista1"/>
          </w:p>
          <w:bookmarkEnd w:id="1"/>
          <w:p w14:paraId="5D9B3146" w14:textId="2F8687D7" w:rsidR="00A803E7" w:rsidRPr="00DC6133" w:rsidRDefault="00A803E7" w:rsidP="00A803E7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</w:rPr>
              <w:t>Art. 33</w:t>
            </w:r>
            <w:r w:rsidR="00F3527F">
              <w:rPr>
                <w:rFonts w:ascii="Times New Roman" w:eastAsia="Calibri" w:hAnsi="Times New Roman" w:cs="Times New Roman"/>
              </w:rPr>
              <w:t>zd</w:t>
            </w:r>
            <w:r w:rsidRPr="00DC6133">
              <w:rPr>
                <w:rFonts w:ascii="Times New Roman" w:eastAsia="Calibri" w:hAnsi="Times New Roman" w:cs="Times New Roman"/>
              </w:rPr>
              <w:t xml:space="preserve"> ust. </w:t>
            </w:r>
            <w:r w:rsidR="00F3527F">
              <w:rPr>
                <w:rFonts w:ascii="Times New Roman" w:eastAsia="Calibri" w:hAnsi="Times New Roman" w:cs="Times New Roman"/>
              </w:rPr>
              <w:t>1</w:t>
            </w:r>
            <w:r w:rsidRPr="00DC6133">
              <w:rPr>
                <w:rFonts w:ascii="Times New Roman" w:eastAsia="Calibri" w:hAnsi="Times New Roman" w:cs="Times New Roman"/>
              </w:rPr>
              <w:t xml:space="preserve"> ustawy z dnia 29 listopada 2000 r. – Prawo atomowe (Dz. U. z 2021 r. poz. </w:t>
            </w:r>
            <w:r w:rsidR="00EB7FA9">
              <w:rPr>
                <w:rFonts w:ascii="Times New Roman" w:eastAsia="Calibri" w:hAnsi="Times New Roman" w:cs="Times New Roman"/>
              </w:rPr>
              <w:t>1941</w:t>
            </w:r>
            <w:r w:rsidR="003821EA">
              <w:rPr>
                <w:rFonts w:ascii="Times New Roman" w:eastAsia="Calibri" w:hAnsi="Times New Roman" w:cs="Times New Roman"/>
              </w:rPr>
              <w:t xml:space="preserve">, z </w:t>
            </w:r>
            <w:proofErr w:type="spellStart"/>
            <w:r w:rsidR="003821EA">
              <w:rPr>
                <w:rFonts w:ascii="Times New Roman" w:eastAsia="Calibri" w:hAnsi="Times New Roman" w:cs="Times New Roman"/>
              </w:rPr>
              <w:t>późn</w:t>
            </w:r>
            <w:proofErr w:type="spellEnd"/>
            <w:r w:rsidR="003821EA">
              <w:rPr>
                <w:rFonts w:ascii="Times New Roman" w:eastAsia="Calibri" w:hAnsi="Times New Roman" w:cs="Times New Roman"/>
              </w:rPr>
              <w:t>. zm.</w:t>
            </w:r>
            <w:r w:rsidR="007C6126">
              <w:rPr>
                <w:rFonts w:ascii="Times New Roman" w:eastAsia="Calibri" w:hAnsi="Times New Roman" w:cs="Times New Roman"/>
              </w:rPr>
              <w:t>)</w:t>
            </w:r>
          </w:p>
          <w:p w14:paraId="25BE20D3" w14:textId="77777777" w:rsidR="00A803E7" w:rsidRPr="00DC6133" w:rsidRDefault="00A803E7" w:rsidP="00A803E7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</w:p>
          <w:p w14:paraId="5409A131" w14:textId="77777777" w:rsidR="00DC6133" w:rsidRPr="00DC6133" w:rsidRDefault="00DC6133" w:rsidP="00DC6133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Nr w wykazie prac legislacyjnych Ministra Zdrowia:</w:t>
            </w:r>
          </w:p>
          <w:p w14:paraId="70B9F114" w14:textId="55E21213" w:rsidR="00A803E7" w:rsidRPr="00DC6133" w:rsidRDefault="00DC6133" w:rsidP="00DC613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 xml:space="preserve">MZ </w:t>
            </w:r>
            <w:r w:rsidR="00C65DE1">
              <w:rPr>
                <w:rFonts w:ascii="Times New Roman" w:eastAsia="Calibri" w:hAnsi="Times New Roman" w:cs="Times New Roman"/>
                <w:b/>
                <w:color w:val="000000"/>
              </w:rPr>
              <w:t>1327</w:t>
            </w:r>
            <w:r w:rsidR="003F05FF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</w:p>
        </w:tc>
      </w:tr>
      <w:tr w:rsidR="00A803E7" w:rsidRPr="00DC6133" w14:paraId="1A91EEEE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6360FB34" w14:textId="77777777" w:rsidR="00A803E7" w:rsidRPr="00DC6133" w:rsidRDefault="00A803E7" w:rsidP="00A803E7">
            <w:pPr>
              <w:spacing w:before="60" w:after="6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FFFFFF"/>
              </w:rPr>
              <w:t>OCENA SKUTKÓW REGULACJI</w:t>
            </w:r>
          </w:p>
        </w:tc>
      </w:tr>
      <w:tr w:rsidR="00A803E7" w:rsidRPr="00DC6133" w14:paraId="59020002" w14:textId="77777777" w:rsidTr="00F555A5">
        <w:trPr>
          <w:gridAfter w:val="1"/>
          <w:wAfter w:w="10" w:type="dxa"/>
          <w:trHeight w:val="33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B87EFA8" w14:textId="77777777" w:rsidR="00A803E7" w:rsidRPr="00DC6133" w:rsidRDefault="00A803E7" w:rsidP="00A803E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A803E7" w:rsidRPr="00DC6133" w14:paraId="4AAC1D93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79CE963B" w14:textId="22F8485D" w:rsidR="00A83A6E" w:rsidRPr="00A83A6E" w:rsidRDefault="00A83A6E" w:rsidP="00A83A6E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3A6E">
              <w:rPr>
                <w:rFonts w:ascii="Times New Roman" w:eastAsia="Calibri" w:hAnsi="Times New Roman" w:cs="Times New Roman"/>
                <w:color w:val="000000"/>
              </w:rPr>
              <w:t>W związku z koniecznością wdrożenia dyrektywy Rady 2013/59/</w:t>
            </w:r>
            <w:proofErr w:type="spellStart"/>
            <w:r w:rsidRPr="00A83A6E">
              <w:rPr>
                <w:rFonts w:ascii="Times New Roman" w:eastAsia="Calibri" w:hAnsi="Times New Roman" w:cs="Times New Roman"/>
                <w:color w:val="000000"/>
              </w:rPr>
              <w:t>Euratom</w:t>
            </w:r>
            <w:proofErr w:type="spellEnd"/>
            <w:r w:rsidRPr="00A83A6E">
              <w:rPr>
                <w:rFonts w:ascii="Times New Roman" w:eastAsia="Calibri" w:hAnsi="Times New Roman" w:cs="Times New Roman"/>
                <w:color w:val="000000"/>
              </w:rPr>
              <w:t xml:space="preserve"> ustanawiającej podstawowe normy bezpieczeństwa w celu ochrony przed zagrożeniami wynikającymi z narażenia na działanie promieniowania jonizującego oraz uchylającej dyrektywy 89/618/</w:t>
            </w:r>
            <w:proofErr w:type="spellStart"/>
            <w:r w:rsidRPr="00A83A6E">
              <w:rPr>
                <w:rFonts w:ascii="Times New Roman" w:eastAsia="Calibri" w:hAnsi="Times New Roman" w:cs="Times New Roman"/>
                <w:color w:val="000000"/>
              </w:rPr>
              <w:t>Euratom</w:t>
            </w:r>
            <w:proofErr w:type="spellEnd"/>
            <w:r w:rsidRPr="00A83A6E">
              <w:rPr>
                <w:rFonts w:ascii="Times New Roman" w:eastAsia="Calibri" w:hAnsi="Times New Roman" w:cs="Times New Roman"/>
                <w:color w:val="000000"/>
              </w:rPr>
              <w:t>, 90/641/</w:t>
            </w:r>
            <w:proofErr w:type="spellStart"/>
            <w:r w:rsidRPr="00A83A6E">
              <w:rPr>
                <w:rFonts w:ascii="Times New Roman" w:eastAsia="Calibri" w:hAnsi="Times New Roman" w:cs="Times New Roman"/>
                <w:color w:val="000000"/>
              </w:rPr>
              <w:t>Euratom</w:t>
            </w:r>
            <w:proofErr w:type="spellEnd"/>
            <w:r w:rsidRPr="00A83A6E">
              <w:rPr>
                <w:rFonts w:ascii="Times New Roman" w:eastAsia="Calibri" w:hAnsi="Times New Roman" w:cs="Times New Roman"/>
                <w:color w:val="000000"/>
              </w:rPr>
              <w:t>, 96/29/</w:t>
            </w:r>
            <w:proofErr w:type="spellStart"/>
            <w:r w:rsidRPr="00A83A6E">
              <w:rPr>
                <w:rFonts w:ascii="Times New Roman" w:eastAsia="Calibri" w:hAnsi="Times New Roman" w:cs="Times New Roman"/>
                <w:color w:val="000000"/>
              </w:rPr>
              <w:t>Euratom</w:t>
            </w:r>
            <w:proofErr w:type="spellEnd"/>
            <w:r w:rsidRPr="00A83A6E">
              <w:rPr>
                <w:rFonts w:ascii="Times New Roman" w:eastAsia="Calibri" w:hAnsi="Times New Roman" w:cs="Times New Roman"/>
                <w:color w:val="000000"/>
              </w:rPr>
              <w:t>, 97/43/</w:t>
            </w:r>
            <w:proofErr w:type="spellStart"/>
            <w:r w:rsidRPr="00A83A6E">
              <w:rPr>
                <w:rFonts w:ascii="Times New Roman" w:eastAsia="Calibri" w:hAnsi="Times New Roman" w:cs="Times New Roman"/>
                <w:color w:val="000000"/>
              </w:rPr>
              <w:t>Euratom</w:t>
            </w:r>
            <w:proofErr w:type="spellEnd"/>
            <w:r w:rsidRPr="00A83A6E">
              <w:rPr>
                <w:rFonts w:ascii="Times New Roman" w:eastAsia="Calibri" w:hAnsi="Times New Roman" w:cs="Times New Roman"/>
                <w:color w:val="000000"/>
              </w:rPr>
              <w:t xml:space="preserve"> i 2003/122/</w:t>
            </w:r>
            <w:proofErr w:type="spellStart"/>
            <w:r w:rsidRPr="00A83A6E">
              <w:rPr>
                <w:rFonts w:ascii="Times New Roman" w:eastAsia="Calibri" w:hAnsi="Times New Roman" w:cs="Times New Roman"/>
                <w:color w:val="000000"/>
              </w:rPr>
              <w:t>Euratom</w:t>
            </w:r>
            <w:proofErr w:type="spellEnd"/>
            <w:r w:rsidRPr="00A83A6E">
              <w:rPr>
                <w:rFonts w:ascii="Times New Roman" w:eastAsia="Calibri" w:hAnsi="Times New Roman" w:cs="Times New Roman"/>
                <w:color w:val="000000"/>
              </w:rPr>
              <w:t xml:space="preserve"> (Dz.</w:t>
            </w:r>
            <w:r w:rsidR="001E1C1D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A83A6E">
              <w:rPr>
                <w:rFonts w:ascii="Times New Roman" w:eastAsia="Calibri" w:hAnsi="Times New Roman" w:cs="Times New Roman"/>
                <w:color w:val="000000"/>
              </w:rPr>
              <w:t>Urz. UE L 13 z 17.01.2014, str. 1, Dz. Urz. UE L 72 z 17.03.2016, str. 69, Dz. Urz. UE L 152 z 11.06.2019, str. 128 oraz Dz. Urz. UE L 324 z 13.12.2019, str. 80), zwanej dalej „dyrektywą 2013/59/</w:t>
            </w:r>
            <w:proofErr w:type="spellStart"/>
            <w:r w:rsidRPr="00A83A6E">
              <w:rPr>
                <w:rFonts w:ascii="Times New Roman" w:eastAsia="Calibri" w:hAnsi="Times New Roman" w:cs="Times New Roman"/>
                <w:color w:val="000000"/>
              </w:rPr>
              <w:t>Euratom</w:t>
            </w:r>
            <w:proofErr w:type="spellEnd"/>
            <w:r w:rsidRPr="00A83A6E">
              <w:rPr>
                <w:rFonts w:ascii="Times New Roman" w:eastAsia="Calibri" w:hAnsi="Times New Roman" w:cs="Times New Roman"/>
                <w:color w:val="000000"/>
              </w:rPr>
              <w:t>”, zachodzi potrzeba określenia:</w:t>
            </w:r>
          </w:p>
          <w:p w14:paraId="0566471B" w14:textId="29FCDB86" w:rsidR="00A83A6E" w:rsidRPr="00F54883" w:rsidRDefault="00A83A6E" w:rsidP="00F54883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4883">
              <w:rPr>
                <w:rFonts w:ascii="Times New Roman" w:eastAsia="Calibri" w:hAnsi="Times New Roman" w:cs="Times New Roman"/>
                <w:color w:val="000000"/>
              </w:rPr>
              <w:t>warunków bezpiecznego stosowania promieniowania jonizującego dla wszystkich rodzajów ekspozycji medycznej oraz szczegółowych wymagań dla urządzeń radiologicznych oraz urządzeń pomocniczych</w:t>
            </w:r>
            <w:r w:rsidR="008F2F64"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Pr="00F5488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3FC2790D" w14:textId="5F0D5DC0" w:rsidR="00A83A6E" w:rsidRPr="00F54883" w:rsidRDefault="00A83A6E" w:rsidP="00F54883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4883">
              <w:rPr>
                <w:rFonts w:ascii="Times New Roman" w:eastAsia="Calibri" w:hAnsi="Times New Roman" w:cs="Times New Roman"/>
                <w:color w:val="000000"/>
              </w:rPr>
              <w:t>maksymalnych wartości ograniczników dawek (limitów użytkowych dawek) dla osób uczestniczących w</w:t>
            </w:r>
            <w:r w:rsidR="008F2F64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F54883">
              <w:rPr>
                <w:rFonts w:ascii="Times New Roman" w:eastAsia="Calibri" w:hAnsi="Times New Roman" w:cs="Times New Roman"/>
                <w:color w:val="000000"/>
              </w:rPr>
              <w:t>eksperymentach medycznych lub badaniach klinicznych oraz dla opiekunów</w:t>
            </w:r>
            <w:r w:rsidR="008F2F64">
              <w:rPr>
                <w:rFonts w:ascii="Times New Roman" w:eastAsia="Calibri" w:hAnsi="Times New Roman" w:cs="Times New Roman"/>
                <w:color w:val="000000"/>
              </w:rPr>
              <w:t>;</w:t>
            </w:r>
            <w:r w:rsidRPr="00F5488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22AAC1F0" w14:textId="1ED287E9" w:rsidR="00A83A6E" w:rsidRPr="00F54883" w:rsidRDefault="00A83A6E" w:rsidP="00F54883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4883">
              <w:rPr>
                <w:rFonts w:ascii="Times New Roman" w:eastAsia="Calibri" w:hAnsi="Times New Roman" w:cs="Times New Roman"/>
                <w:color w:val="000000"/>
              </w:rPr>
              <w:t>wymaganych zależności między oczekiwaną korzyścią eksperymentów medycznych lub badań klinicznych a</w:t>
            </w:r>
            <w:r w:rsidR="008F2F64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F54883">
              <w:rPr>
                <w:rFonts w:ascii="Times New Roman" w:eastAsia="Calibri" w:hAnsi="Times New Roman" w:cs="Times New Roman"/>
                <w:color w:val="000000"/>
              </w:rPr>
              <w:t xml:space="preserve">wielkością ryzyka i dawką skuteczną (efektywną). </w:t>
            </w:r>
          </w:p>
          <w:p w14:paraId="0BDEE257" w14:textId="4B301B5D" w:rsidR="00A83A6E" w:rsidRPr="00A83A6E" w:rsidRDefault="00A83A6E" w:rsidP="00E57E85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3A6E">
              <w:rPr>
                <w:rFonts w:ascii="Times New Roman" w:eastAsia="Calibri" w:hAnsi="Times New Roman" w:cs="Times New Roman"/>
                <w:color w:val="000000"/>
              </w:rPr>
              <w:t>W obowiązującym stanie prawnym kwestie objęte projektowanym rozporządzeniem są przedmiotem uregulowań zawartych w rozporządzeniu Ministra Zdrowia z dnia 18 lutego 2011 r. w sprawie warunków bezpiecznego stosowania promieniowania jonizującego dla wszystkich rodzajów ekspozycji medycznej (Dz. U. z 2017 r. poz. 884). Zgodnie z</w:t>
            </w:r>
            <w:r w:rsidR="008F2F64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A83A6E">
              <w:rPr>
                <w:rFonts w:ascii="Times New Roman" w:eastAsia="Calibri" w:hAnsi="Times New Roman" w:cs="Times New Roman"/>
                <w:color w:val="000000"/>
              </w:rPr>
              <w:t>art.</w:t>
            </w:r>
            <w:r w:rsidR="008F2F64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A83A6E">
              <w:rPr>
                <w:rFonts w:ascii="Times New Roman" w:eastAsia="Calibri" w:hAnsi="Times New Roman" w:cs="Times New Roman"/>
                <w:color w:val="000000"/>
              </w:rPr>
              <w:t>37 ust. 2 pkt 2 ustawy z dnia 13 czerwca 2019 r. o zmianie ustawy – Prawo atomowe oraz ustawy o ochronie przeciwpożarowej (Dz. U. poz. 1593</w:t>
            </w:r>
            <w:r w:rsidR="00F27E5A">
              <w:rPr>
                <w:rFonts w:ascii="Times New Roman" w:eastAsia="Calibri" w:hAnsi="Times New Roman" w:cs="Times New Roman"/>
                <w:color w:val="000000"/>
              </w:rPr>
              <w:t xml:space="preserve">, z </w:t>
            </w:r>
            <w:proofErr w:type="spellStart"/>
            <w:r w:rsidR="00F27E5A">
              <w:rPr>
                <w:rFonts w:ascii="Times New Roman" w:eastAsia="Calibri" w:hAnsi="Times New Roman" w:cs="Times New Roman"/>
                <w:color w:val="000000"/>
              </w:rPr>
              <w:t>poźn</w:t>
            </w:r>
            <w:proofErr w:type="spellEnd"/>
            <w:r w:rsidR="00F27E5A">
              <w:rPr>
                <w:rFonts w:ascii="Times New Roman" w:eastAsia="Calibri" w:hAnsi="Times New Roman" w:cs="Times New Roman"/>
                <w:color w:val="000000"/>
              </w:rPr>
              <w:t>. zm.</w:t>
            </w:r>
            <w:r w:rsidRPr="00A83A6E">
              <w:rPr>
                <w:rFonts w:ascii="Times New Roman" w:eastAsia="Calibri" w:hAnsi="Times New Roman" w:cs="Times New Roman"/>
                <w:color w:val="000000"/>
              </w:rPr>
              <w:t>), przepisy ww. rozporządzenia zachowują moc do dnia wejścia w życie przepisów projektowanego rozporządzenia, jednak nie dłużej niż przez 36 miesięcy od dnia wejścia w życie tej ustawy.</w:t>
            </w:r>
          </w:p>
          <w:p w14:paraId="1AF52C2B" w14:textId="1D0E11E5" w:rsidR="00A803E7" w:rsidRPr="00DC6133" w:rsidRDefault="00A83A6E" w:rsidP="00F3527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83A6E">
              <w:rPr>
                <w:rFonts w:ascii="Times New Roman" w:eastAsia="Calibri" w:hAnsi="Times New Roman" w:cs="Times New Roman"/>
                <w:color w:val="000000"/>
              </w:rPr>
              <w:t>Projektowane rozporządzenie w zakresie swojej regulacji wdraża dyrektywę Rady 2013/59/</w:t>
            </w:r>
            <w:proofErr w:type="spellStart"/>
            <w:r w:rsidRPr="00A83A6E">
              <w:rPr>
                <w:rFonts w:ascii="Times New Roman" w:eastAsia="Calibri" w:hAnsi="Times New Roman" w:cs="Times New Roman"/>
                <w:color w:val="000000"/>
              </w:rPr>
              <w:t>Euratom</w:t>
            </w:r>
            <w:proofErr w:type="spellEnd"/>
            <w:r w:rsidRPr="00A83A6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A803E7" w:rsidRPr="00DC6133" w14:paraId="7B238DA3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7F773D5" w14:textId="77777777" w:rsidR="00A803E7" w:rsidRPr="00DC6133" w:rsidRDefault="00A803E7" w:rsidP="00A803E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Rekomendowane rozwiązanie, w tym planowane narzędzia interwencji, i oczekiwany efekt</w:t>
            </w:r>
          </w:p>
        </w:tc>
      </w:tr>
      <w:tr w:rsidR="00A803E7" w:rsidRPr="00DC6133" w14:paraId="743F8C6A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4AD58383" w14:textId="77777777" w:rsidR="002E7BAC" w:rsidRPr="002E7BAC" w:rsidRDefault="002E7BAC" w:rsidP="002E7BAC">
            <w:pPr>
              <w:tabs>
                <w:tab w:val="left" w:pos="6900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E7BAC">
              <w:rPr>
                <w:rFonts w:ascii="Times New Roman" w:eastAsia="Calibri" w:hAnsi="Times New Roman" w:cs="Times New Roman"/>
                <w:color w:val="000000"/>
              </w:rPr>
              <w:t>Projekt rozporządzenia określa warunki bezpiecznego stosowania promieniowania jonizującego dla wszystkich rodzajów ekspozycji medycznej, szczegółowe wymagania dla urządzeń radiologicznych i urządzeń pomocniczych, a także  maksymalne wartości ograniczników dawek (limitów użytkowych dawek) dla osób uczestniczących w eksperymentach medycznych lub badaniach klinicznych oraz dla opiekunów, a ponadto wymagane zależności między oczekiwaną korzyścią eksperymentów medycznych lub badań klinicznych a wielkością ryzyka i dawką skuteczną (efektywną).</w:t>
            </w:r>
          </w:p>
          <w:p w14:paraId="7C231772" w14:textId="3FD14F1D" w:rsidR="002E7BAC" w:rsidRPr="002E7BAC" w:rsidRDefault="002E7BAC" w:rsidP="002E7BAC">
            <w:pPr>
              <w:tabs>
                <w:tab w:val="left" w:pos="6900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E7BAC">
              <w:rPr>
                <w:rFonts w:ascii="Times New Roman" w:eastAsia="Calibri" w:hAnsi="Times New Roman" w:cs="Times New Roman"/>
                <w:color w:val="000000"/>
              </w:rPr>
              <w:t xml:space="preserve">Projektowane rozporządzenie, wraz z innymi przepisami prawnymi, tj. ustawą z dnia 29 listopada 2000 r. – Prawo atomowe oraz innymi przepisami wykonawczymi wydanymi na podstawie upoważnień zamieszczonych w tej ustawie, zapewni funkcjonowanie kompleksowego systemu ochrony radiologicznej osób poddawanych ekspozycjom medycznym. Istotnym elementem tego systemu będą – określone w projektowanym rozporządzeniu – wymagania w zakresie metod i sposobów postępowania w poszczególnych dziedzinach związanych ze stosowaniem promieniowania jonizującego, tj. w radioterapii, badaniach diagnostycznych i leczeniu związanym z podawaniem produktów </w:t>
            </w:r>
            <w:proofErr w:type="spellStart"/>
            <w:r w:rsidRPr="002E7BAC">
              <w:rPr>
                <w:rFonts w:ascii="Times New Roman" w:eastAsia="Calibri" w:hAnsi="Times New Roman" w:cs="Times New Roman"/>
                <w:color w:val="000000"/>
              </w:rPr>
              <w:t>radiofarmaceutycznych</w:t>
            </w:r>
            <w:proofErr w:type="spellEnd"/>
            <w:r w:rsidRPr="002E7BAC">
              <w:rPr>
                <w:rFonts w:ascii="Times New Roman" w:eastAsia="Calibri" w:hAnsi="Times New Roman" w:cs="Times New Roman"/>
                <w:color w:val="000000"/>
              </w:rPr>
              <w:t>, radiologii zabiegowej oraz rentgenodiagnostyce (w tym tomografii komputerowej, mammografii i stomatologii). Określone w</w:t>
            </w:r>
            <w:r w:rsidR="00D6521C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2E7BAC">
              <w:rPr>
                <w:rFonts w:ascii="Times New Roman" w:eastAsia="Calibri" w:hAnsi="Times New Roman" w:cs="Times New Roman"/>
                <w:color w:val="000000"/>
              </w:rPr>
              <w:t>projekcie rozporządzenia wymagania dotyczą w szczególności:</w:t>
            </w:r>
          </w:p>
          <w:p w14:paraId="69476EF7" w14:textId="5BD4EBF7" w:rsidR="002E7BAC" w:rsidRPr="00F54883" w:rsidRDefault="002E7BAC" w:rsidP="00F54883">
            <w:pPr>
              <w:pStyle w:val="Akapitzlist"/>
              <w:numPr>
                <w:ilvl w:val="0"/>
                <w:numId w:val="11"/>
              </w:numPr>
              <w:tabs>
                <w:tab w:val="left" w:pos="6900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4883">
              <w:rPr>
                <w:rFonts w:ascii="Times New Roman" w:eastAsia="Calibri" w:hAnsi="Times New Roman" w:cs="Times New Roman"/>
                <w:color w:val="000000"/>
              </w:rPr>
              <w:t xml:space="preserve">koniecznych rozwiązań organizacyjnych sprzyjających zapewnieniu odpowiedniego poziomu bezpieczeństwa radiologicznego pacjentów; </w:t>
            </w:r>
          </w:p>
          <w:p w14:paraId="7478F1FD" w14:textId="126D5A2B" w:rsidR="002E7BAC" w:rsidRPr="00F54883" w:rsidRDefault="002E7BAC" w:rsidP="00F54883">
            <w:pPr>
              <w:pStyle w:val="Akapitzlist"/>
              <w:numPr>
                <w:ilvl w:val="0"/>
                <w:numId w:val="11"/>
              </w:numPr>
              <w:tabs>
                <w:tab w:val="left" w:pos="6900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4883">
              <w:rPr>
                <w:rFonts w:ascii="Times New Roman" w:eastAsia="Calibri" w:hAnsi="Times New Roman" w:cs="Times New Roman"/>
                <w:color w:val="000000"/>
              </w:rPr>
              <w:lastRenderedPageBreak/>
              <w:t>niezbędnych czynności, jakie powinien podjąć personel medyczny podczas wykonywania poszczególnych procedur medycznych dla zachowania właściwego poziomu bezpieczeństwa;</w:t>
            </w:r>
          </w:p>
          <w:p w14:paraId="5EE86534" w14:textId="0828EBA2" w:rsidR="002E7BAC" w:rsidRPr="00F54883" w:rsidRDefault="002E7BAC" w:rsidP="00F54883">
            <w:pPr>
              <w:pStyle w:val="Akapitzlist"/>
              <w:numPr>
                <w:ilvl w:val="0"/>
                <w:numId w:val="11"/>
              </w:numPr>
              <w:tabs>
                <w:tab w:val="left" w:pos="6900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4883">
              <w:rPr>
                <w:rFonts w:ascii="Times New Roman" w:eastAsia="Calibri" w:hAnsi="Times New Roman" w:cs="Times New Roman"/>
                <w:color w:val="000000"/>
              </w:rPr>
              <w:t>parametrów stosowanego sprzętu i jego funkcjonalności;</w:t>
            </w:r>
          </w:p>
          <w:p w14:paraId="147F641E" w14:textId="24E44852" w:rsidR="002E7BAC" w:rsidRPr="00F54883" w:rsidRDefault="002E7BAC" w:rsidP="00F54883">
            <w:pPr>
              <w:pStyle w:val="Akapitzlist"/>
              <w:numPr>
                <w:ilvl w:val="0"/>
                <w:numId w:val="11"/>
              </w:numPr>
              <w:tabs>
                <w:tab w:val="left" w:pos="6900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4883">
              <w:rPr>
                <w:rFonts w:ascii="Times New Roman" w:eastAsia="Calibri" w:hAnsi="Times New Roman" w:cs="Times New Roman"/>
                <w:color w:val="000000"/>
              </w:rPr>
              <w:t>niezbędnych środków technicznych i materiałów, których stosowanie służy ochronie radiologicznej;</w:t>
            </w:r>
          </w:p>
          <w:p w14:paraId="76309FC6" w14:textId="64B73A8B" w:rsidR="002E7BAC" w:rsidRPr="00F54883" w:rsidRDefault="002E7BAC" w:rsidP="00F54883">
            <w:pPr>
              <w:pStyle w:val="Akapitzlist"/>
              <w:numPr>
                <w:ilvl w:val="0"/>
                <w:numId w:val="11"/>
              </w:numPr>
              <w:tabs>
                <w:tab w:val="left" w:pos="6900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54883">
              <w:rPr>
                <w:rFonts w:ascii="Times New Roman" w:eastAsia="Calibri" w:hAnsi="Times New Roman" w:cs="Times New Roman"/>
                <w:color w:val="000000"/>
              </w:rPr>
              <w:t>stosowania właściwych technik i metod postępowania przy udzielaniu poszczególnych rodzajów świadczeń medycznych z wykorzystaniem promieniowania jonizującego.</w:t>
            </w:r>
          </w:p>
          <w:p w14:paraId="2844D8D8" w14:textId="37F365BF" w:rsidR="00A803E7" w:rsidRPr="00DC6133" w:rsidRDefault="002E7BAC" w:rsidP="00F3527F">
            <w:pPr>
              <w:tabs>
                <w:tab w:val="left" w:pos="6900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E7BAC">
              <w:rPr>
                <w:rFonts w:ascii="Times New Roman" w:eastAsia="Calibri" w:hAnsi="Times New Roman" w:cs="Times New Roman"/>
                <w:color w:val="000000"/>
              </w:rPr>
              <w:t>Efektem stosowania rozporządzenia będzie zapewnienie wysokiego poziomu bezpieczeństwa osób poddawanych ekspozycjom medycznym w ramach medycznych procedur radiologicznych, wykonywanych w jednostkach ochrony zdrowia we wszystkich zakresach stosowania promieniowania jonizującego w celach medycznych.</w:t>
            </w:r>
          </w:p>
        </w:tc>
      </w:tr>
      <w:tr w:rsidR="00A803E7" w:rsidRPr="00DC6133" w14:paraId="61312C59" w14:textId="77777777" w:rsidTr="00F555A5">
        <w:trPr>
          <w:gridAfter w:val="1"/>
          <w:wAfter w:w="10" w:type="dxa"/>
          <w:trHeight w:val="307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4FAB651" w14:textId="77777777" w:rsidR="00A803E7" w:rsidRPr="00DC6133" w:rsidRDefault="00A803E7" w:rsidP="00A803E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</w:rPr>
              <w:lastRenderedPageBreak/>
              <w:t>Jak problem został rozwiązany w innych krajach, w szczególności krajach członkowskich OECD/UE</w:t>
            </w: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?</w:t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A803E7" w:rsidRPr="003F05FF" w14:paraId="32735229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79CE54B8" w14:textId="644DCEA5" w:rsidR="00F3527F" w:rsidRDefault="00F3527F" w:rsidP="00F352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6803">
              <w:rPr>
                <w:rFonts w:ascii="Times New Roman" w:hAnsi="Times New Roman"/>
                <w:color w:val="000000"/>
                <w:spacing w:val="-2"/>
              </w:rPr>
              <w:t xml:space="preserve">Unijne dyrektywy z zakresu ochrony przed promieniowaniem jonizującym wdrażane są w krajach europejskich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w zbliżony sposób zarówno na poziomie ustaw, jak i przepisów wykonawczych. </w:t>
            </w:r>
            <w:r w:rsidRPr="00846803">
              <w:rPr>
                <w:rFonts w:ascii="Times New Roman" w:hAnsi="Times New Roman"/>
                <w:color w:val="000000"/>
                <w:spacing w:val="-2"/>
              </w:rPr>
              <w:t xml:space="preserve">W przypadku Niemiec są to: Prawo atomowe (niem. </w:t>
            </w:r>
            <w:proofErr w:type="spellStart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>Atomgesetz</w:t>
            </w:r>
            <w:proofErr w:type="spellEnd"/>
            <w:r w:rsidRPr="00846803">
              <w:rPr>
                <w:rFonts w:ascii="Times New Roman" w:hAnsi="Times New Roman"/>
                <w:color w:val="000000"/>
                <w:spacing w:val="-2"/>
              </w:rPr>
              <w:t xml:space="preserve">) oraz </w:t>
            </w:r>
            <w:r w:rsidR="009E0AA7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846803">
              <w:rPr>
                <w:rFonts w:ascii="Times New Roman" w:hAnsi="Times New Roman"/>
                <w:color w:val="000000"/>
                <w:spacing w:val="-2"/>
              </w:rPr>
              <w:t xml:space="preserve">ozporządzenie o ochronie przed promieniowaniem (niem. </w:t>
            </w:r>
            <w:proofErr w:type="spellStart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>Strahlenschutzverordnung</w:t>
            </w:r>
            <w:proofErr w:type="spellEnd"/>
            <w:r w:rsidRPr="00846803">
              <w:rPr>
                <w:rFonts w:ascii="Times New Roman" w:hAnsi="Times New Roman"/>
                <w:color w:val="000000"/>
                <w:spacing w:val="-2"/>
              </w:rPr>
              <w:t xml:space="preserve">) i </w:t>
            </w:r>
            <w:r w:rsidR="009E0AA7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846803">
              <w:rPr>
                <w:rFonts w:ascii="Times New Roman" w:hAnsi="Times New Roman"/>
                <w:color w:val="000000"/>
                <w:spacing w:val="-2"/>
              </w:rPr>
              <w:t xml:space="preserve">ozporządzenie rentgenowskie (niem. </w:t>
            </w:r>
            <w:proofErr w:type="spellStart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>Röntgenverordnung</w:t>
            </w:r>
            <w:proofErr w:type="spellEnd"/>
            <w:r w:rsidRPr="00846803">
              <w:rPr>
                <w:rFonts w:ascii="Times New Roman" w:hAnsi="Times New Roman"/>
                <w:color w:val="000000"/>
                <w:spacing w:val="-2"/>
              </w:rPr>
              <w:t>). Powyższe rozporządzenia zawierają przede wszystkim zasady zastosowania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,   między innymi w medycynie, </w:t>
            </w:r>
            <w:r w:rsidRPr="00846803">
              <w:rPr>
                <w:rFonts w:ascii="Times New Roman" w:hAnsi="Times New Roman"/>
                <w:color w:val="000000"/>
                <w:spacing w:val="-2"/>
              </w:rPr>
              <w:t>promieniowania jonizującego i substancji radioaktywnych. Stanowią one także o zasadach ochrony przed promieniowaniem oraz wymogach, jakie muszą spełniać urządzenia radiologiczne. Charakteryzują ogólnie prawa i obowiązki poszczególnych podmiotów związanych ze stosowaniem promieniowania jonizującego, natomiast szcze</w:t>
            </w:r>
            <w:r>
              <w:rPr>
                <w:rFonts w:ascii="Times New Roman" w:hAnsi="Times New Roman"/>
                <w:color w:val="000000"/>
                <w:spacing w:val="-2"/>
              </w:rPr>
              <w:t>g</w:t>
            </w:r>
            <w:r w:rsidRPr="00846803">
              <w:rPr>
                <w:rFonts w:ascii="Times New Roman" w:hAnsi="Times New Roman"/>
                <w:color w:val="000000"/>
                <w:spacing w:val="-2"/>
              </w:rPr>
              <w:t>ółowe wymagania w tym zakresie określone są w rozlicznych wytyczny</w:t>
            </w:r>
            <w:r>
              <w:rPr>
                <w:rFonts w:ascii="Times New Roman" w:hAnsi="Times New Roman"/>
                <w:color w:val="000000"/>
                <w:spacing w:val="-2"/>
              </w:rPr>
              <w:t>ch i normach technicznych (tzw. </w:t>
            </w:r>
            <w:r w:rsidRPr="00846803">
              <w:rPr>
                <w:rFonts w:ascii="Times New Roman" w:hAnsi="Times New Roman"/>
                <w:color w:val="000000"/>
                <w:spacing w:val="-2"/>
              </w:rPr>
              <w:t>normy DIN).</w:t>
            </w:r>
          </w:p>
          <w:p w14:paraId="21FDF4F8" w14:textId="17FD7C37" w:rsidR="00F3527F" w:rsidRDefault="00F3527F" w:rsidP="00F352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6803">
              <w:rPr>
                <w:rFonts w:ascii="Times New Roman" w:hAnsi="Times New Roman"/>
                <w:color w:val="000000"/>
                <w:spacing w:val="-2"/>
              </w:rPr>
              <w:t xml:space="preserve">W przypadku Austrii dyrektywy Unii Europejskiej wdrożone są przez </w:t>
            </w:r>
            <w:r w:rsidR="009E0AA7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846803">
              <w:rPr>
                <w:rFonts w:ascii="Times New Roman" w:hAnsi="Times New Roman"/>
                <w:color w:val="000000"/>
                <w:spacing w:val="-2"/>
              </w:rPr>
              <w:t>st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846803">
              <w:rPr>
                <w:rFonts w:ascii="Times New Roman" w:hAnsi="Times New Roman"/>
                <w:color w:val="000000"/>
                <w:spacing w:val="-2"/>
              </w:rPr>
              <w:t>wę o ochronie przed promieniowaniem</w:t>
            </w:r>
            <w:r>
              <w:rPr>
                <w:rFonts w:ascii="Times New Roman" w:hAnsi="Times New Roman"/>
                <w:color w:val="000000"/>
                <w:spacing w:val="-2"/>
              </w:rPr>
              <w:t>, która stanowi</w:t>
            </w:r>
            <w:r w:rsidRPr="00846803">
              <w:rPr>
                <w:rFonts w:ascii="Times New Roman" w:hAnsi="Times New Roman"/>
                <w:color w:val="000000"/>
                <w:spacing w:val="-2"/>
              </w:rPr>
              <w:t xml:space="preserve"> podstawową regulację prawną </w:t>
            </w:r>
            <w:r>
              <w:rPr>
                <w:rFonts w:ascii="Times New Roman" w:hAnsi="Times New Roman"/>
                <w:color w:val="000000"/>
                <w:spacing w:val="-2"/>
              </w:rPr>
              <w:t>dot</w:t>
            </w:r>
            <w:r w:rsidR="00194098">
              <w:rPr>
                <w:rFonts w:ascii="Times New Roman" w:hAnsi="Times New Roman"/>
                <w:color w:val="000000"/>
                <w:spacing w:val="-2"/>
              </w:rPr>
              <w:t>yczącą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46803">
              <w:rPr>
                <w:rFonts w:ascii="Times New Roman" w:hAnsi="Times New Roman"/>
                <w:color w:val="000000"/>
                <w:spacing w:val="-2"/>
              </w:rPr>
              <w:t>ochrony człowieka i środowiska przed szkodami spowodowanymi przez promien</w:t>
            </w:r>
            <w:r>
              <w:rPr>
                <w:rFonts w:ascii="Times New Roman" w:hAnsi="Times New Roman"/>
                <w:color w:val="000000"/>
                <w:spacing w:val="-2"/>
              </w:rPr>
              <w:t>iowanie jonizujące. Na podstawie tej ustawy wydano szereg</w:t>
            </w:r>
            <w:r w:rsidRPr="00846803">
              <w:rPr>
                <w:rFonts w:ascii="Times New Roman" w:hAnsi="Times New Roman"/>
                <w:color w:val="000000"/>
                <w:spacing w:val="-2"/>
              </w:rPr>
              <w:t xml:space="preserve"> rozporządzeń zawierających szczegółowe regulacje poszczególnych dziedzin (Ogólne rozporządzenie o ochronie przed promieniowaniem, </w:t>
            </w:r>
            <w:r w:rsidR="009E0AA7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846803">
              <w:rPr>
                <w:rFonts w:ascii="Times New Roman" w:hAnsi="Times New Roman"/>
                <w:color w:val="000000"/>
                <w:spacing w:val="-2"/>
              </w:rPr>
              <w:t xml:space="preserve">ozporządzenie o ochronie przed promieniowaniem w medycynie i </w:t>
            </w:r>
            <w:r w:rsidR="009E0AA7">
              <w:rPr>
                <w:rFonts w:ascii="Times New Roman" w:hAnsi="Times New Roman"/>
                <w:color w:val="000000"/>
                <w:spacing w:val="-2"/>
              </w:rPr>
              <w:t>r</w:t>
            </w:r>
            <w:r w:rsidRPr="00846803">
              <w:rPr>
                <w:rFonts w:ascii="Times New Roman" w:hAnsi="Times New Roman"/>
                <w:color w:val="000000"/>
                <w:spacing w:val="-2"/>
              </w:rPr>
              <w:t>ozporządzenie o interwencjach w stanach zagrożenia radiologicznego oraz przy długotrwałych ekspozycjach na promieniowanie).</w:t>
            </w:r>
          </w:p>
          <w:p w14:paraId="48F67856" w14:textId="50659BB8" w:rsidR="00A803E7" w:rsidRPr="00F3527F" w:rsidRDefault="00F3527F" w:rsidP="00F3527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46803">
              <w:rPr>
                <w:rFonts w:ascii="Times New Roman" w:hAnsi="Times New Roman"/>
                <w:color w:val="000000"/>
                <w:spacing w:val="-2"/>
              </w:rPr>
              <w:t xml:space="preserve">W Wielkiej Brytanii większość przepisów dyrektywy realizowana jest przez przepisy dotyczące promieniowania jonizującego </w:t>
            </w:r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 xml:space="preserve">The </w:t>
            </w:r>
            <w:proofErr w:type="spellStart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>Ionising</w:t>
            </w:r>
            <w:proofErr w:type="spellEnd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proofErr w:type="spellStart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>Radiations</w:t>
            </w:r>
            <w:proofErr w:type="spellEnd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proofErr w:type="spellStart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>Regulations</w:t>
            </w:r>
            <w:proofErr w:type="spellEnd"/>
            <w:r w:rsidRPr="00846803">
              <w:rPr>
                <w:rFonts w:ascii="Times New Roman" w:hAnsi="Times New Roman"/>
                <w:color w:val="000000"/>
                <w:spacing w:val="-2"/>
              </w:rPr>
              <w:t xml:space="preserve"> 1999 oraz regulację prawną dot. ekspozycji medycznych </w:t>
            </w:r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 xml:space="preserve">The </w:t>
            </w:r>
            <w:proofErr w:type="spellStart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>Ionising</w:t>
            </w:r>
            <w:proofErr w:type="spellEnd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proofErr w:type="spellStart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>Radiation</w:t>
            </w:r>
            <w:proofErr w:type="spellEnd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 xml:space="preserve"> (</w:t>
            </w:r>
            <w:proofErr w:type="spellStart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>Medical</w:t>
            </w:r>
            <w:proofErr w:type="spellEnd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proofErr w:type="spellStart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>Exposure</w:t>
            </w:r>
            <w:proofErr w:type="spellEnd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 xml:space="preserve">) </w:t>
            </w:r>
            <w:proofErr w:type="spellStart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>Regulations</w:t>
            </w:r>
            <w:proofErr w:type="spellEnd"/>
            <w:r w:rsidRPr="00846803">
              <w:rPr>
                <w:rFonts w:ascii="Times New Roman" w:hAnsi="Times New Roman"/>
                <w:i/>
                <w:color w:val="000000"/>
                <w:spacing w:val="-2"/>
              </w:rPr>
              <w:t xml:space="preserve"> </w:t>
            </w:r>
            <w:r w:rsidRPr="00846803">
              <w:rPr>
                <w:rFonts w:ascii="Times New Roman" w:hAnsi="Times New Roman"/>
                <w:color w:val="000000"/>
                <w:spacing w:val="-2"/>
              </w:rPr>
              <w:t>2000. Do przepisów tych również wydawane są s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zczegółowe wytyczne, które mimo, </w:t>
            </w:r>
            <w:r w:rsidRPr="00846803">
              <w:rPr>
                <w:rFonts w:ascii="Times New Roman" w:hAnsi="Times New Roman"/>
                <w:color w:val="000000"/>
                <w:spacing w:val="-2"/>
              </w:rPr>
              <w:t>że nie mają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mocy prawnej to postępowanie zgodne z tymi wytycznymi </w:t>
            </w:r>
            <w:r w:rsidRPr="00846803">
              <w:rPr>
                <w:rFonts w:ascii="Times New Roman" w:hAnsi="Times New Roman"/>
                <w:color w:val="000000"/>
                <w:spacing w:val="-2"/>
              </w:rPr>
              <w:t>uznawane jest za dobrą praktykę realizującą wymagania prawne.</w:t>
            </w:r>
          </w:p>
        </w:tc>
      </w:tr>
      <w:tr w:rsidR="00A803E7" w:rsidRPr="00DC6133" w14:paraId="2F23B9A1" w14:textId="77777777" w:rsidTr="00F555A5">
        <w:trPr>
          <w:gridAfter w:val="1"/>
          <w:wAfter w:w="10" w:type="dxa"/>
          <w:trHeight w:val="359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D23BD59" w14:textId="77777777" w:rsidR="00A803E7" w:rsidRPr="00DC6133" w:rsidRDefault="00A803E7" w:rsidP="00A803E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Podmioty, na które oddziałuje projekt</w:t>
            </w:r>
          </w:p>
        </w:tc>
      </w:tr>
      <w:tr w:rsidR="00A803E7" w:rsidRPr="00DC6133" w14:paraId="0CC44B22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0895151B" w14:textId="77777777" w:rsidR="00A803E7" w:rsidRPr="00DC6133" w:rsidRDefault="00A803E7" w:rsidP="00A803E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5A576873" w14:textId="77777777" w:rsidR="00A803E7" w:rsidRPr="00DC6133" w:rsidRDefault="00A803E7" w:rsidP="00A803E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64EF418" w14:textId="77777777" w:rsidR="00A803E7" w:rsidRPr="00DC6133" w:rsidRDefault="00A803E7" w:rsidP="00A803E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Źródło danych</w:t>
            </w:r>
            <w:r w:rsidRPr="00DC6133" w:rsidDel="00260F3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7DF72145" w14:textId="77777777" w:rsidR="00A803E7" w:rsidRPr="00DC6133" w:rsidRDefault="00A803E7" w:rsidP="00A803E7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Oddziaływanie</w:t>
            </w:r>
          </w:p>
        </w:tc>
      </w:tr>
      <w:tr w:rsidR="00A803E7" w:rsidRPr="00DC6133" w14:paraId="2ECE798A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2668" w:type="dxa"/>
            <w:gridSpan w:val="3"/>
            <w:shd w:val="clear" w:color="auto" w:fill="auto"/>
          </w:tcPr>
          <w:p w14:paraId="6182FC97" w14:textId="7279CDA6" w:rsidR="00A803E7" w:rsidRPr="00DC6133" w:rsidRDefault="00F3527F" w:rsidP="00A803E7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3527F">
              <w:rPr>
                <w:rFonts w:ascii="Times New Roman" w:eastAsia="Calibri" w:hAnsi="Times New Roman" w:cs="Times New Roman"/>
                <w:color w:val="000000"/>
              </w:rPr>
              <w:t>Jednostki ochrony zdrowia stosujące promieniowanie jonizujące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79211142" w14:textId="47F6325F" w:rsidR="00A803E7" w:rsidRPr="00DC6133" w:rsidRDefault="00F3527F" w:rsidP="0086785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Ponad 30 tys.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49FFA1B" w14:textId="5B7BD42A" w:rsidR="00A803E7" w:rsidRPr="00DC6133" w:rsidRDefault="00F3527F" w:rsidP="00867859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F3527F">
              <w:rPr>
                <w:rFonts w:ascii="Times New Roman" w:eastAsia="Calibri" w:hAnsi="Times New Roman" w:cs="Times New Roman"/>
                <w:color w:val="000000"/>
              </w:rPr>
              <w:t>Dane Krajowego Centrum Ochrony Radiologicznej w</w:t>
            </w:r>
            <w:r w:rsidR="00717308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F3527F">
              <w:rPr>
                <w:rFonts w:ascii="Times New Roman" w:eastAsia="Calibri" w:hAnsi="Times New Roman" w:cs="Times New Roman"/>
                <w:color w:val="000000"/>
              </w:rPr>
              <w:t>Ochronie Zdrowia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84A8B4B" w14:textId="388740ED" w:rsidR="00A803E7" w:rsidRPr="00DC6133" w:rsidRDefault="00F3527F" w:rsidP="00867859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3527F">
              <w:rPr>
                <w:rFonts w:ascii="Times New Roman" w:eastAsia="Calibri" w:hAnsi="Times New Roman" w:cs="Times New Roman"/>
                <w:color w:val="000000"/>
              </w:rPr>
              <w:t>Zapewnienie udzielania świadczeń zdrowotnych z</w:t>
            </w:r>
            <w:r w:rsidR="00717308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F3527F">
              <w:rPr>
                <w:rFonts w:ascii="Times New Roman" w:eastAsia="Calibri" w:hAnsi="Times New Roman" w:cs="Times New Roman"/>
                <w:color w:val="000000"/>
              </w:rPr>
              <w:t>wykorzystaniem promieniowania w sposób uwzględniający wymagania określone projektowanym rozporządzeniem</w:t>
            </w:r>
            <w:r w:rsidR="00717308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A803E7" w:rsidRPr="00DC6133" w14:paraId="286E9F29" w14:textId="77777777" w:rsidTr="00F555A5">
        <w:trPr>
          <w:gridAfter w:val="1"/>
          <w:wAfter w:w="10" w:type="dxa"/>
          <w:trHeight w:val="30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B83555C" w14:textId="77777777" w:rsidR="00A803E7" w:rsidRPr="00DC6133" w:rsidRDefault="00A803E7" w:rsidP="00A803E7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871FB3" w:rsidRPr="00DC6133" w14:paraId="4E011AF8" w14:textId="77777777" w:rsidTr="00F555A5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503A051" w14:textId="77777777" w:rsidR="00F3527F" w:rsidRDefault="00F3527F" w:rsidP="0087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</w:p>
          <w:p w14:paraId="365C7D22" w14:textId="028E37E9" w:rsidR="00871FB3" w:rsidRDefault="00871FB3" w:rsidP="0087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 w:rsidRPr="00A477DB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Projekt rozporządzenia nie był przedmiotem </w:t>
            </w:r>
            <w:proofErr w:type="spellStart"/>
            <w:r w:rsidRPr="00A477DB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pre</w:t>
            </w:r>
            <w:proofErr w:type="spellEnd"/>
            <w:r w:rsidRPr="00A477DB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-konsultacji publicznych.</w:t>
            </w:r>
          </w:p>
          <w:p w14:paraId="15395DBE" w14:textId="72930F83" w:rsidR="00871FB3" w:rsidRPr="00394091" w:rsidRDefault="00871FB3" w:rsidP="0087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</w:pP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Projekt rozporządzenia zosta</w:t>
            </w:r>
            <w:r w:rsidR="00DA6E03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ł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przekazany na </w:t>
            </w:r>
            <w:r w:rsidR="00C238D2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21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dni do konsultacji publicznych i opiniowania do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 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następujących podmiotów:</w:t>
            </w:r>
          </w:p>
          <w:p w14:paraId="54CDF413" w14:textId="1EDFD85B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Centralnego Instytutu Ochrony Pracy – Państwowego Instytutu Badawczego;</w:t>
            </w:r>
          </w:p>
          <w:p w14:paraId="7C1963A0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Federacji Przedsiębiorców Polskich;</w:t>
            </w:r>
          </w:p>
          <w:p w14:paraId="750FF273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Federacji Związków Pracodawców Ochrony Zdrowia „Porozumienie Zielonogórskie”;</w:t>
            </w:r>
          </w:p>
          <w:p w14:paraId="7FD51365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Federacji Związków Pracowników Ochrony Zdrowia;</w:t>
            </w:r>
          </w:p>
          <w:p w14:paraId="2C560001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Forum Związków Zawodowych;</w:t>
            </w:r>
          </w:p>
          <w:p w14:paraId="7A4AF902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Głównego Inspektora Pracy;</w:t>
            </w:r>
          </w:p>
          <w:p w14:paraId="293FA8FB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Głównego Inspektora Sanitarnego;</w:t>
            </w:r>
          </w:p>
          <w:p w14:paraId="0A42645A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Instytutu Medycyny Pracy imienia prof. J. </w:t>
            </w:r>
            <w:proofErr w:type="spellStart"/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Nofera</w:t>
            </w:r>
            <w:proofErr w:type="spellEnd"/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w Łodzi;</w:t>
            </w:r>
          </w:p>
          <w:p w14:paraId="301088E5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Komisji Wspólnej Rządu i Samorządu Terytorialnego;</w:t>
            </w:r>
          </w:p>
          <w:p w14:paraId="05607583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Konfederacji Lewiatan;</w:t>
            </w:r>
          </w:p>
          <w:p w14:paraId="6088DE88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medycyny nuklearnej;</w:t>
            </w:r>
          </w:p>
          <w:p w14:paraId="7DCDED3B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lastRenderedPageBreak/>
              <w:t>Konsultanta Krajowego w dziedzinie radiologii i diagnostyki obrazowej;</w:t>
            </w:r>
          </w:p>
          <w:p w14:paraId="6012EADD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Konsultanta Krajowego w dziedzinie radioterapii onkologicznej;</w:t>
            </w:r>
          </w:p>
          <w:p w14:paraId="50C918FE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Krajowego Centrum Ochrony Radiologicznej w Ochronie Zdrowia;</w:t>
            </w:r>
          </w:p>
          <w:p w14:paraId="4DD0BA04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Krajowej Rady Diagnostów Laboratoryjnych;</w:t>
            </w:r>
          </w:p>
          <w:p w14:paraId="5B7CFAF3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Krajowej Rady Fizjoterapeutów;</w:t>
            </w:r>
          </w:p>
          <w:p w14:paraId="64B431C3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Naczelnej Rady Aptekarskiej;</w:t>
            </w:r>
          </w:p>
          <w:p w14:paraId="6FE5FED9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Naczelnej Rady Lekarskiej;</w:t>
            </w:r>
          </w:p>
          <w:p w14:paraId="656EB215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Naczelnej Rady Pielęgniarek i Położnych;</w:t>
            </w:r>
          </w:p>
          <w:p w14:paraId="62B2B528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Narodowego Funduszu Zdrowia;</w:t>
            </w:r>
          </w:p>
          <w:p w14:paraId="7CDC9E16" w14:textId="7D975EEB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Narodowego Instytutu Zdrowia Publicznego </w:t>
            </w:r>
            <w:r w:rsidR="007800B4">
              <w:rPr>
                <w:rFonts w:ascii="Times New Roman" w:eastAsia="Calibri" w:hAnsi="Times New Roman" w:cs="Times New Roman"/>
                <w:color w:val="000000"/>
                <w:spacing w:val="-2"/>
              </w:rPr>
              <w:t>PZH</w:t>
            </w: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– </w:t>
            </w:r>
            <w:r w:rsidR="007800B4">
              <w:rPr>
                <w:rFonts w:ascii="Times New Roman" w:eastAsia="Calibri" w:hAnsi="Times New Roman" w:cs="Times New Roman"/>
                <w:color w:val="000000"/>
                <w:spacing w:val="-2"/>
              </w:rPr>
              <w:t>Państwowego Instytutu Badawczego</w:t>
            </w: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36A9BB09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Niezależnego Samorządnego Związku Zawodowego „Solidarność 80”;</w:t>
            </w:r>
          </w:p>
          <w:p w14:paraId="28792AA7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Niezależnego Samorządnego Związku Zawodowego „Solidarność”;</w:t>
            </w:r>
          </w:p>
          <w:p w14:paraId="4B660F1A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Porozumienia Związków Zawodowych;</w:t>
            </w:r>
          </w:p>
          <w:p w14:paraId="255E2865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Stowarzyszenia Szpitali Prywatnych;</w:t>
            </w:r>
          </w:p>
          <w:p w14:paraId="28407D44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Zrzeszenia Szpitali Akredytowanych;</w:t>
            </w:r>
          </w:p>
          <w:p w14:paraId="531EE443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Związku Pracodawców Szpitali Powiatowych;</w:t>
            </w:r>
          </w:p>
          <w:p w14:paraId="6327AE96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Związku Zawodowego Lekarzy;</w:t>
            </w:r>
          </w:p>
          <w:p w14:paraId="04619EF1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Ogólnopolskiego Związku Zawodowego Pielęgniarek i Położnych;</w:t>
            </w:r>
          </w:p>
          <w:p w14:paraId="301B2CFD" w14:textId="2D533192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Ogólnopolskiego Związku Zawodowego </w:t>
            </w:r>
            <w:r w:rsidR="00D61580">
              <w:rPr>
                <w:rFonts w:ascii="Times New Roman" w:eastAsia="Calibri" w:hAnsi="Times New Roman" w:cs="Times New Roman"/>
                <w:color w:val="000000"/>
                <w:spacing w:val="-2"/>
              </w:rPr>
              <w:t>Fizyków</w:t>
            </w: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Medycznych;</w:t>
            </w:r>
          </w:p>
          <w:p w14:paraId="1D99AA8C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Państwowej Agencji Atomistyki;</w:t>
            </w:r>
          </w:p>
          <w:p w14:paraId="2B307F06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Lekarskiego Towarzystwa Radiologicznego;</w:t>
            </w:r>
          </w:p>
          <w:p w14:paraId="7E85CB90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Stowarzyszenia Dyrektorów Szpitali;</w:t>
            </w:r>
          </w:p>
          <w:p w14:paraId="6DDF50F7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Polskiego Stowarzyszenia Techników </w:t>
            </w:r>
            <w:proofErr w:type="spellStart"/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Elektroradiologii</w:t>
            </w:r>
            <w:proofErr w:type="spellEnd"/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2B320519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Towarzystwa Fizyki Medycznej;</w:t>
            </w:r>
          </w:p>
          <w:p w14:paraId="38FA632E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Towarzystwa Medycyny Nuklearnej;</w:t>
            </w:r>
          </w:p>
          <w:p w14:paraId="78BBA00B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Towarzystwa Radioterapii Onkologicznej;</w:t>
            </w:r>
          </w:p>
          <w:p w14:paraId="50F7B903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Polskiego Towarzystwa Stomatologicznego;</w:t>
            </w:r>
          </w:p>
          <w:p w14:paraId="4A817B09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Polskiej Federacji Szpitali;</w:t>
            </w:r>
          </w:p>
          <w:p w14:paraId="67B438CC" w14:textId="47BC2F57" w:rsidR="00871FB3" w:rsidRPr="00F420F3" w:rsidRDefault="00871FB3" w:rsidP="00F420F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Polskiej Unii Szpitali Klinicznych</w:t>
            </w:r>
            <w:r w:rsidRPr="00F420F3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07F3E299" w14:textId="006BD4F4" w:rsidR="00871FB3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Pracodawców Rzeczypospolitej Polskiej;</w:t>
            </w:r>
          </w:p>
          <w:p w14:paraId="43D54DD0" w14:textId="1D933E93" w:rsidR="007800B4" w:rsidRPr="007800B4" w:rsidRDefault="007800B4" w:rsidP="007800B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Prezesa </w:t>
            </w: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Urzędu Rejestracji Produktów Leczniczych, Wyrobów Medycznych i Produktów Biobójczych;</w:t>
            </w:r>
          </w:p>
          <w:p w14:paraId="4AFE07B7" w14:textId="0AB3D9BF" w:rsidR="007800B4" w:rsidRPr="007800B4" w:rsidRDefault="007800B4" w:rsidP="007800B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800B4">
              <w:rPr>
                <w:rFonts w:ascii="Times New Roman" w:eastAsia="Calibri" w:hAnsi="Times New Roman" w:cs="Times New Roman"/>
                <w:color w:val="000000"/>
                <w:spacing w:val="-2"/>
              </w:rPr>
              <w:t>Prezes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800B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Urzędu Ochrony Konkurencji i Konsumentów;</w:t>
            </w:r>
          </w:p>
          <w:p w14:paraId="0E7ADA77" w14:textId="30B53AAC" w:rsidR="007800B4" w:rsidRPr="007800B4" w:rsidRDefault="007800B4" w:rsidP="007800B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800B4">
              <w:rPr>
                <w:rFonts w:ascii="Times New Roman" w:eastAsia="Calibri" w:hAnsi="Times New Roman" w:cs="Times New Roman"/>
                <w:color w:val="000000"/>
                <w:spacing w:val="-2"/>
              </w:rPr>
              <w:t>Prezes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a</w:t>
            </w:r>
            <w:r w:rsidRPr="007800B4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Urzędu Ochrony Danych Osobowych;</w:t>
            </w:r>
          </w:p>
          <w:p w14:paraId="4323AF04" w14:textId="2C2E0CCE" w:rsidR="007800B4" w:rsidRPr="00394091" w:rsidRDefault="007800B4" w:rsidP="007800B4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7800B4">
              <w:rPr>
                <w:rFonts w:ascii="Times New Roman" w:eastAsia="Calibri" w:hAnsi="Times New Roman" w:cs="Times New Roman"/>
                <w:color w:val="000000"/>
                <w:spacing w:val="-2"/>
              </w:rPr>
              <w:t>Prokuratorii Generalnej Rzeczypospolitej Polskiej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3248BE0E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Rady Dialogu Społecznego;</w:t>
            </w:r>
          </w:p>
          <w:p w14:paraId="2BAFFAF3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Rzecznika Praw Pacjenta;</w:t>
            </w:r>
          </w:p>
          <w:p w14:paraId="193B0A48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Stowarzyszenia Inspektorów Ochrony Radiologicznej;</w:t>
            </w:r>
          </w:p>
          <w:p w14:paraId="4B79B5B4" w14:textId="663F9B9D" w:rsidR="00871FB3" w:rsidRPr="005617E8" w:rsidRDefault="00871FB3" w:rsidP="005617E8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Stowarzyszenia Menedżerów Opieki Zdrowotnej</w:t>
            </w:r>
            <w:r w:rsidRPr="005617E8">
              <w:rPr>
                <w:rFonts w:ascii="Times New Roman" w:eastAsia="Calibri" w:hAnsi="Times New Roman" w:cs="Times New Roman"/>
                <w:color w:val="000000"/>
                <w:spacing w:val="-2"/>
              </w:rPr>
              <w:t>;</w:t>
            </w:r>
          </w:p>
          <w:p w14:paraId="1357F8C6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Związku Pracodawców Business Centre Club;</w:t>
            </w:r>
          </w:p>
          <w:p w14:paraId="30EF8605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Związku Pracodawców Służby Zdrowia Ministerstwa Spraw Wewnętrznych i Administracji;</w:t>
            </w:r>
          </w:p>
          <w:p w14:paraId="6FF5293B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Związku Przedsiębiorców i Pracodawców;</w:t>
            </w:r>
          </w:p>
          <w:p w14:paraId="2B3BBE36" w14:textId="77777777" w:rsidR="00871FB3" w:rsidRPr="00394091" w:rsidRDefault="00871FB3" w:rsidP="00871FB3">
            <w:pPr>
              <w:numPr>
                <w:ilvl w:val="0"/>
                <w:numId w:val="5"/>
              </w:numPr>
              <w:spacing w:after="0" w:line="25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394091">
              <w:rPr>
                <w:rFonts w:ascii="Times New Roman" w:eastAsia="Calibri" w:hAnsi="Times New Roman" w:cs="Times New Roman"/>
                <w:color w:val="000000"/>
                <w:spacing w:val="-2"/>
              </w:rPr>
              <w:t>Związku Rzemiosła Polskiego.</w:t>
            </w:r>
          </w:p>
          <w:p w14:paraId="2DFCE82C" w14:textId="77777777" w:rsidR="00871FB3" w:rsidRPr="00394091" w:rsidRDefault="00871FB3" w:rsidP="0087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A63AF8F" w14:textId="0EC70403" w:rsidR="00871FB3" w:rsidRPr="00394091" w:rsidRDefault="00871FB3" w:rsidP="0087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Projekt rozporządzenia </w:t>
            </w:r>
            <w:r w:rsidR="00F455D5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zosta</w:t>
            </w:r>
            <w:r w:rsidR="00DA6E03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ł</w:t>
            </w:r>
            <w:r w:rsidR="00F455D5"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udostępniony na stronie podmiotowej Rządowego Centrum Legislacji, w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 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serwisie „Rządowy Proces Legislacyjny”, zgodnie z art. 5 ustawy z dnia 7 lipca 2005 r. o działalności lobbingowej w procesie stanowienia prawa (Dz. U. z 2017 r. poz. 248) oraz uchwałą nr 190 Rady Ministrów z dnia 29 października 2013 r. – Regulamin pracy Rady Ministrów (M.P. z 20</w:t>
            </w:r>
            <w:r w:rsidR="00717308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22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r. poz. </w:t>
            </w:r>
            <w:r w:rsidR="00717308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348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).</w:t>
            </w:r>
            <w:r w:rsidRPr="0039409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6DCC1BC" w14:textId="71D7BD3B" w:rsidR="00871FB3" w:rsidRPr="00DC6133" w:rsidRDefault="00871FB3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Wyniki konsultacji publicznych i opiniowania </w:t>
            </w:r>
            <w:r w:rsidR="00F455D5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zostaną</w:t>
            </w:r>
            <w:r w:rsidR="00F455D5"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 </w:t>
            </w:r>
            <w:r w:rsidRPr="00394091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 xml:space="preserve">przedstawione w raporcie załączonym do niniejszej Oceny Skutków Regulacji. </w:t>
            </w:r>
          </w:p>
        </w:tc>
      </w:tr>
      <w:tr w:rsidR="00871FB3" w:rsidRPr="00DC6133" w14:paraId="5DCBE445" w14:textId="77777777" w:rsidTr="00F555A5">
        <w:trPr>
          <w:gridAfter w:val="1"/>
          <w:wAfter w:w="10" w:type="dxa"/>
          <w:trHeight w:val="363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B74757C" w14:textId="77777777" w:rsidR="00871FB3" w:rsidRPr="00DC6133" w:rsidRDefault="00871FB3" w:rsidP="00871FB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871FB3" w:rsidRPr="00DC6133" w14:paraId="5B76B3C1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72011D2E" w14:textId="1AA44570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(ceny stałe z </w:t>
            </w:r>
            <w:r>
              <w:rPr>
                <w:rFonts w:ascii="Times New Roman" w:eastAsia="Calibri" w:hAnsi="Times New Roman" w:cs="Times New Roman"/>
                <w:color w:val="000000"/>
              </w:rPr>
              <w:t>2021</w:t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2FC9600E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Skutki w okresie 10 lat od wejścia w życie zmian [mln zł]</w:t>
            </w:r>
          </w:p>
        </w:tc>
      </w:tr>
      <w:tr w:rsidR="00871FB3" w:rsidRPr="00DC6133" w14:paraId="591569A9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3133" w:type="dxa"/>
            <w:gridSpan w:val="4"/>
            <w:vMerge/>
            <w:shd w:val="clear" w:color="auto" w:fill="FFFFFF"/>
          </w:tcPr>
          <w:p w14:paraId="73DAD59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D400F71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9D2DF5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F8C38E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F72F73A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834157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7E6E7534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E933A7B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13784C9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9EDCF7C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33DB84A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9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D3CC78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537" w:type="dxa"/>
            <w:shd w:val="clear" w:color="auto" w:fill="FFFFFF"/>
          </w:tcPr>
          <w:p w14:paraId="4557EC6A" w14:textId="77777777" w:rsidR="00871FB3" w:rsidRPr="00DC6133" w:rsidRDefault="00871FB3" w:rsidP="00871FB3">
            <w:pPr>
              <w:spacing w:before="60" w:after="60" w:line="240" w:lineRule="auto"/>
              <w:ind w:left="-77" w:right="-72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Łącznie (0–10)</w:t>
            </w:r>
          </w:p>
        </w:tc>
      </w:tr>
      <w:tr w:rsidR="00871FB3" w:rsidRPr="00DC6133" w14:paraId="5C42CD8C" w14:textId="77777777" w:rsidTr="00F555A5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83595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07AD2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08BB59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C27A0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1D081B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70DFAD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3E5BDE8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5746FC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EF2035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577ABD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0986D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86D77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0B050FF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1128C937" w14:textId="77777777" w:rsidTr="00F555A5">
        <w:trPr>
          <w:trHeight w:val="32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D46B0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lastRenderedPageBreak/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5198B2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FFB70A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C1E176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973B41E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6D1882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F608B1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5C5E70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43CA4F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590DAF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12D03A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6F21A4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60E6CBE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41DE6ACE" w14:textId="77777777" w:rsidTr="00F555A5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4BBFF3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3B090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2D6D4F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6B41B9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94056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9F9F5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1B1FBBE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413882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C5B421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4036B3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234BDF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67EA1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798D6EBE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3FDA45B2" w14:textId="77777777" w:rsidTr="00F555A5">
        <w:trPr>
          <w:trHeight w:val="344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B43D6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A34BD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8A23BC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DBD05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5D4FA1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68B25A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331A8E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23298933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B8136D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224B6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9B43C3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77A71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1351B00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2770D140" w14:textId="77777777" w:rsidTr="00F555A5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3B0990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8EA7EF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71503F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C463D2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DA5B96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9C62DA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2D186C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B2D565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55628B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64B78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E218C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3DD56A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5D51D54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7E84A01E" w14:textId="77777777" w:rsidTr="00F555A5">
        <w:trPr>
          <w:trHeight w:val="33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E185BC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7854E0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00F955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E053E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9000BC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1D0ADF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4DAF4F93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98C88A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F62543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A469A7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1A2018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21A0F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0827EB9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5E9F7DCA" w14:textId="77777777" w:rsidTr="00F555A5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FF909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59D34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C0B4B5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5749A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7B1C38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A77B9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193D56B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134F59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7BF4BE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0D065F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E393C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6A9599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49DDD77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2DD04CF3" w14:textId="77777777" w:rsidTr="00F555A5">
        <w:trPr>
          <w:trHeight w:val="351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7A9A9DE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2E66A5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C894F8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ABD17C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34530E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7246C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B11AB2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4FE03B8E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6859937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F7C51F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6160F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D20E0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667190E3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47095865" w14:textId="77777777" w:rsidTr="00F555A5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B24E31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129AB6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6A1360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A3944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B7CFFF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573ED0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6B59515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5C92D6C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846EF3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453865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3559963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5EA466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379AC1C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4BFF10DB" w14:textId="77777777" w:rsidTr="00F555A5">
        <w:trPr>
          <w:trHeight w:val="360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C90F7C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07D718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778BCF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F5BAF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712D69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8BF73E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03CDB02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4EC404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669E74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D9D38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94A1F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160B8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4FC4CD2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6BC3CD95" w14:textId="77777777" w:rsidTr="00F555A5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3368A89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E6D6F9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5F4BE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EE9D8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1F0783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F6FE58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52C5946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0DB393E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752FC2BB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44E7D8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320075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348314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2396D05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415B9D3D" w14:textId="77777777" w:rsidTr="00F555A5">
        <w:trPr>
          <w:trHeight w:val="357"/>
          <w:jc w:val="center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1B2B28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F76F5E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1C550A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B2E79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F6A463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B13BF8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shd w:val="clear" w:color="auto" w:fill="FFFFFF"/>
          </w:tcPr>
          <w:p w14:paraId="7FA8B12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05A12E1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1370F04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EBDE2A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5ACEFD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67AF15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547" w:type="dxa"/>
            <w:gridSpan w:val="2"/>
            <w:shd w:val="clear" w:color="auto" w:fill="FFFFFF"/>
          </w:tcPr>
          <w:p w14:paraId="45895A5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05AECBFE" w14:textId="77777777" w:rsidTr="00F555A5">
        <w:trPr>
          <w:gridAfter w:val="1"/>
          <w:wAfter w:w="10" w:type="dxa"/>
          <w:trHeight w:val="348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72ABFAA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ABB1203" w14:textId="77777777" w:rsidR="00871FB3" w:rsidRPr="00DC6133" w:rsidRDefault="00871FB3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Nie dotyczy</w:t>
            </w:r>
          </w:p>
        </w:tc>
      </w:tr>
      <w:tr w:rsidR="00871FB3" w:rsidRPr="00DC6133" w14:paraId="44E782AA" w14:textId="77777777" w:rsidTr="00F555A5">
        <w:trPr>
          <w:gridAfter w:val="1"/>
          <w:wAfter w:w="10" w:type="dxa"/>
          <w:trHeight w:val="1926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1DD48D04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30974305" w14:textId="13C92C3D" w:rsidR="00F3527F" w:rsidRPr="00867859" w:rsidRDefault="00F3527F" w:rsidP="00F3527F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867859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Nie przewiduje się wpływu projektowanego rozporządzenia na sektor finansów publicznych.</w:t>
            </w:r>
          </w:p>
          <w:p w14:paraId="3F874ED1" w14:textId="190F9544" w:rsidR="00871FB3" w:rsidRPr="00DC6133" w:rsidRDefault="00F3527F" w:rsidP="00F5488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C41197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Należy mieć na względzie, że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określone w projektowanym rozporządzeniu warunki bezpiecznego stosowania promieniowania jonizującego</w:t>
            </w:r>
            <w:r w:rsidR="008A536D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dla wszystkich rodzajów ekspozycji medycznej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0D6D4F">
              <w:rPr>
                <w:rFonts w:ascii="Times New Roman" w:hAnsi="Times New Roman"/>
                <w:color w:val="000000"/>
                <w:sz w:val="21"/>
                <w:szCs w:val="21"/>
              </w:rPr>
              <w:t>n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ie są na gruncie polskiego prawa nowe. Dotychczas były one określone w przepisach rozporządzenia Ministra Zdrowia z dnia 18</w:t>
            </w:r>
            <w:r w:rsidR="00E2751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lutego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2011 r. W konsekwencji zmienia się jedynie podstawa prawna określenia powyższych wymogów w polskim porządku prawnym. Oznacza to, że po stronie jednostek ochrony zdrowia (w tym jednostek sektora finansów publicznych) z tytułu wymogów wynikających z</w:t>
            </w:r>
            <w:r w:rsidR="00EA0ABC">
              <w:rPr>
                <w:rFonts w:ascii="Times New Roman" w:hAnsi="Times New Roman"/>
                <w:color w:val="000000"/>
                <w:sz w:val="21"/>
                <w:szCs w:val="21"/>
              </w:rPr>
              <w:t> 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projektowanego rozporządzenia nie powstają nowe konsekwencje finansowe .  </w:t>
            </w:r>
          </w:p>
        </w:tc>
      </w:tr>
      <w:tr w:rsidR="00871FB3" w:rsidRPr="00DC6133" w14:paraId="2AF01A74" w14:textId="77777777" w:rsidTr="00F555A5">
        <w:trPr>
          <w:gridAfter w:val="1"/>
          <w:wAfter w:w="10" w:type="dxa"/>
          <w:trHeight w:val="345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008C8C54" w14:textId="77777777" w:rsidR="00871FB3" w:rsidRPr="00DC6133" w:rsidRDefault="00871FB3" w:rsidP="00871FB3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871FB3" w:rsidRPr="00DC6133" w14:paraId="50953FA4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5833A6DD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Skutki</w:t>
            </w:r>
          </w:p>
        </w:tc>
      </w:tr>
      <w:tr w:rsidR="00871FB3" w:rsidRPr="00DC6133" w14:paraId="00B4D7F9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3889" w:type="dxa"/>
            <w:gridSpan w:val="7"/>
            <w:shd w:val="clear" w:color="auto" w:fill="FFFFFF"/>
          </w:tcPr>
          <w:p w14:paraId="08B7668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Czas w latach od wejścia w życie zmian</w:t>
            </w:r>
          </w:p>
        </w:tc>
        <w:tc>
          <w:tcPr>
            <w:tcW w:w="907" w:type="dxa"/>
            <w:gridSpan w:val="2"/>
            <w:shd w:val="clear" w:color="auto" w:fill="FFFFFF"/>
          </w:tcPr>
          <w:p w14:paraId="7EE4E463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5"/>
            <w:shd w:val="clear" w:color="auto" w:fill="FFFFFF"/>
          </w:tcPr>
          <w:p w14:paraId="2E1AB5A2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08" w:type="dxa"/>
            <w:gridSpan w:val="3"/>
            <w:shd w:val="clear" w:color="auto" w:fill="FFFFFF"/>
          </w:tcPr>
          <w:p w14:paraId="51B6D181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07" w:type="dxa"/>
            <w:gridSpan w:val="4"/>
            <w:shd w:val="clear" w:color="auto" w:fill="FFFFFF"/>
          </w:tcPr>
          <w:p w14:paraId="6D9030E8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07" w:type="dxa"/>
            <w:gridSpan w:val="4"/>
            <w:shd w:val="clear" w:color="auto" w:fill="FFFFFF"/>
          </w:tcPr>
          <w:p w14:paraId="4FB11576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08" w:type="dxa"/>
            <w:gridSpan w:val="2"/>
            <w:shd w:val="clear" w:color="auto" w:fill="FFFFFF"/>
          </w:tcPr>
          <w:p w14:paraId="57914055" w14:textId="77777777" w:rsidR="00871FB3" w:rsidRPr="00DC6133" w:rsidRDefault="00871FB3" w:rsidP="00871FB3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10</w:t>
            </w:r>
          </w:p>
        </w:tc>
        <w:tc>
          <w:tcPr>
            <w:tcW w:w="1604" w:type="dxa"/>
            <w:gridSpan w:val="2"/>
            <w:shd w:val="clear" w:color="auto" w:fill="FFFFFF"/>
          </w:tcPr>
          <w:p w14:paraId="7A5DEF5E" w14:textId="77777777" w:rsidR="00871FB3" w:rsidRPr="00DC6133" w:rsidRDefault="00871FB3" w:rsidP="00871FB3">
            <w:pPr>
              <w:spacing w:before="60" w:after="60" w:line="240" w:lineRule="auto"/>
              <w:ind w:left="-94" w:right="-15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Łącznie</w:t>
            </w:r>
            <w:r w:rsidRPr="00DC6133" w:rsidDel="0073273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>(0–10)</w:t>
            </w:r>
          </w:p>
        </w:tc>
      </w:tr>
      <w:tr w:rsidR="00871FB3" w:rsidRPr="00DC6133" w14:paraId="5D6B1E56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34CE117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W ujęciu pieniężnym</w:t>
            </w:r>
          </w:p>
          <w:p w14:paraId="60801FC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</w:rPr>
              <w:t xml:space="preserve">(w mln zł, </w:t>
            </w:r>
          </w:p>
          <w:p w14:paraId="2E4FE0B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</w:rPr>
              <w:t>ceny stałe</w:t>
            </w:r>
          </w:p>
          <w:p w14:paraId="496C65F5" w14:textId="66788265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</w:rPr>
              <w:t>z </w:t>
            </w:r>
            <w:r>
              <w:rPr>
                <w:rFonts w:ascii="Times New Roman" w:eastAsia="Calibri" w:hAnsi="Times New Roman" w:cs="Times New Roman"/>
              </w:rPr>
              <w:t>2021</w:t>
            </w:r>
            <w:r w:rsidRPr="00DC6133">
              <w:rPr>
                <w:rFonts w:ascii="Times New Roman" w:eastAsia="Calibri" w:hAnsi="Times New Roman" w:cs="Times New Roman"/>
              </w:rPr>
              <w:t xml:space="preserve">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E90388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907" w:type="dxa"/>
            <w:gridSpan w:val="2"/>
            <w:shd w:val="clear" w:color="auto" w:fill="FFFFFF"/>
          </w:tcPr>
          <w:p w14:paraId="5DD65D2D" w14:textId="2D07BA6A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5"/>
            <w:shd w:val="clear" w:color="auto" w:fill="FFFFFF"/>
          </w:tcPr>
          <w:p w14:paraId="03C16D08" w14:textId="1C873BFE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gridSpan w:val="3"/>
            <w:shd w:val="clear" w:color="auto" w:fill="FFFFFF"/>
          </w:tcPr>
          <w:p w14:paraId="2E806BAD" w14:textId="0B153DB1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4"/>
            <w:shd w:val="clear" w:color="auto" w:fill="FFFFFF"/>
          </w:tcPr>
          <w:p w14:paraId="0FAFA64A" w14:textId="48EC6E8A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4"/>
            <w:shd w:val="clear" w:color="auto" w:fill="FFFFFF"/>
          </w:tcPr>
          <w:p w14:paraId="608B2193" w14:textId="315989A9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gridSpan w:val="2"/>
            <w:shd w:val="clear" w:color="auto" w:fill="FFFFFF"/>
          </w:tcPr>
          <w:p w14:paraId="5493E330" w14:textId="5302F6F4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04" w:type="dxa"/>
            <w:gridSpan w:val="2"/>
            <w:shd w:val="clear" w:color="auto" w:fill="FFFFFF"/>
          </w:tcPr>
          <w:p w14:paraId="487F79A9" w14:textId="33C8D152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599B4BF0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7177B03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7AF37A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sektor mikro-, małych i średnich przedsiębiorstw</w:t>
            </w:r>
          </w:p>
        </w:tc>
        <w:tc>
          <w:tcPr>
            <w:tcW w:w="907" w:type="dxa"/>
            <w:gridSpan w:val="2"/>
            <w:shd w:val="clear" w:color="auto" w:fill="FFFFFF"/>
          </w:tcPr>
          <w:p w14:paraId="37F77C4E" w14:textId="3A131918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5"/>
            <w:shd w:val="clear" w:color="auto" w:fill="FFFFFF"/>
          </w:tcPr>
          <w:p w14:paraId="2C68865E" w14:textId="09B6938D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gridSpan w:val="3"/>
            <w:shd w:val="clear" w:color="auto" w:fill="FFFFFF"/>
          </w:tcPr>
          <w:p w14:paraId="40F7894F" w14:textId="3C4735EE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4"/>
            <w:shd w:val="clear" w:color="auto" w:fill="FFFFFF"/>
          </w:tcPr>
          <w:p w14:paraId="735B6846" w14:textId="12ECBDA9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4"/>
            <w:shd w:val="clear" w:color="auto" w:fill="FFFFFF"/>
          </w:tcPr>
          <w:p w14:paraId="14BC37B3" w14:textId="1F34B9D7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gridSpan w:val="2"/>
            <w:shd w:val="clear" w:color="auto" w:fill="FFFFFF"/>
          </w:tcPr>
          <w:p w14:paraId="13B181A8" w14:textId="44CA1E7C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04" w:type="dxa"/>
            <w:gridSpan w:val="2"/>
            <w:shd w:val="clear" w:color="auto" w:fill="FFFFFF"/>
          </w:tcPr>
          <w:p w14:paraId="1BC7C347" w14:textId="1900496D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599A7291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35BD2B8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53B9EC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</w:rPr>
              <w:t>rodzina, obywatele oraz gospodarstwa domowe</w:t>
            </w:r>
          </w:p>
        </w:tc>
        <w:tc>
          <w:tcPr>
            <w:tcW w:w="907" w:type="dxa"/>
            <w:gridSpan w:val="2"/>
            <w:shd w:val="clear" w:color="auto" w:fill="FFFFFF"/>
          </w:tcPr>
          <w:p w14:paraId="4B461B3E" w14:textId="37FD4D03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5"/>
            <w:shd w:val="clear" w:color="auto" w:fill="FFFFFF"/>
          </w:tcPr>
          <w:p w14:paraId="5B8FFE27" w14:textId="0B803992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gridSpan w:val="3"/>
            <w:shd w:val="clear" w:color="auto" w:fill="FFFFFF"/>
          </w:tcPr>
          <w:p w14:paraId="3E15F5D6" w14:textId="512D4279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4"/>
            <w:shd w:val="clear" w:color="auto" w:fill="FFFFFF"/>
          </w:tcPr>
          <w:p w14:paraId="6B84DA26" w14:textId="505BEAC8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7" w:type="dxa"/>
            <w:gridSpan w:val="4"/>
            <w:shd w:val="clear" w:color="auto" w:fill="FFFFFF"/>
          </w:tcPr>
          <w:p w14:paraId="62B1C19D" w14:textId="714AD7CA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908" w:type="dxa"/>
            <w:gridSpan w:val="2"/>
            <w:shd w:val="clear" w:color="auto" w:fill="FFFFFF"/>
          </w:tcPr>
          <w:p w14:paraId="585D8DC2" w14:textId="5F45581E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604" w:type="dxa"/>
            <w:gridSpan w:val="2"/>
            <w:shd w:val="clear" w:color="auto" w:fill="FFFFFF"/>
          </w:tcPr>
          <w:p w14:paraId="181430A2" w14:textId="02525AEF" w:rsidR="00871FB3" w:rsidRPr="00DC6133" w:rsidRDefault="003F05FF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</w:tr>
      <w:tr w:rsidR="00871FB3" w:rsidRPr="00DC6133" w14:paraId="15C973DE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 w:val="restart"/>
            <w:shd w:val="clear" w:color="auto" w:fill="FFFFFF"/>
          </w:tcPr>
          <w:p w14:paraId="152A1BF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B7F8CCE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749658C" w14:textId="47FAD62B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Brak wpływu</w:t>
            </w:r>
            <w:r w:rsidR="00E2751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871FB3" w:rsidRPr="00DC6133" w14:paraId="2D0020F6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vMerge/>
            <w:shd w:val="clear" w:color="auto" w:fill="FFFFFF"/>
          </w:tcPr>
          <w:p w14:paraId="6C6ED47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2DA3B70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sektor mikro-, małych i 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9271FEA" w14:textId="7CF71D9D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Brak wpływu</w:t>
            </w:r>
            <w:r w:rsidR="00E2751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871FB3" w:rsidRPr="00DC6133" w14:paraId="7B7E3842" w14:textId="77777777" w:rsidTr="00F555A5">
        <w:trPr>
          <w:gridAfter w:val="1"/>
          <w:wAfter w:w="10" w:type="dxa"/>
          <w:trHeight w:val="596"/>
          <w:jc w:val="center"/>
        </w:trPr>
        <w:tc>
          <w:tcPr>
            <w:tcW w:w="1596" w:type="dxa"/>
            <w:vMerge/>
            <w:shd w:val="clear" w:color="auto" w:fill="FFFFFF"/>
          </w:tcPr>
          <w:p w14:paraId="78FD45BF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7699C0F" w14:textId="77777777" w:rsidR="00871FB3" w:rsidRPr="00DC6133" w:rsidRDefault="00871FB3" w:rsidP="00871FB3">
            <w:pPr>
              <w:tabs>
                <w:tab w:val="right" w:pos="1936"/>
              </w:tabs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</w:rPr>
              <w:t>rodzina, obywatele oraz gospodarstwa domowe</w:t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994C60A" w14:textId="2F3802C0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Brak wpływu</w:t>
            </w:r>
            <w:r w:rsidR="00E2751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871FB3" w:rsidRPr="00DC6133" w14:paraId="7189F977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596" w:type="dxa"/>
            <w:shd w:val="clear" w:color="auto" w:fill="FFFFFF"/>
          </w:tcPr>
          <w:p w14:paraId="344138E2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5DC45DB" w14:textId="77777777" w:rsidR="00BD1BA8" w:rsidRPr="00BD1BA8" w:rsidRDefault="00BD1BA8" w:rsidP="00BD1BA8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D1BA8">
              <w:rPr>
                <w:rFonts w:ascii="Times New Roman" w:eastAsia="Calibri" w:hAnsi="Times New Roman" w:cs="Times New Roman"/>
                <w:color w:val="000000"/>
              </w:rPr>
              <w:t xml:space="preserve">sytuacja ekonomiczna </w:t>
            </w:r>
          </w:p>
          <w:p w14:paraId="5E70B9B3" w14:textId="77777777" w:rsidR="00BD1BA8" w:rsidRPr="00BD1BA8" w:rsidRDefault="00BD1BA8" w:rsidP="00BD1BA8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D1BA8">
              <w:rPr>
                <w:rFonts w:ascii="Times New Roman" w:eastAsia="Calibri" w:hAnsi="Times New Roman" w:cs="Times New Roman"/>
                <w:color w:val="000000"/>
              </w:rPr>
              <w:t xml:space="preserve">i społeczna rodziny, </w:t>
            </w:r>
          </w:p>
          <w:p w14:paraId="45300826" w14:textId="2590EB62" w:rsidR="00871FB3" w:rsidRPr="00DC6133" w:rsidRDefault="00BD1BA8" w:rsidP="00BD1BA8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D1BA8">
              <w:rPr>
                <w:rFonts w:ascii="Times New Roman" w:eastAsia="Calibri" w:hAnsi="Times New Roman" w:cs="Times New Roman"/>
                <w:color w:val="000000"/>
              </w:rPr>
              <w:t>a także osób niepełnosprawnych oraz osób starszych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EB56FAC" w14:textId="12CE5D30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Brak wpływu</w:t>
            </w:r>
            <w:r w:rsidR="00E2751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871FB3" w:rsidRPr="00DC6133" w14:paraId="53D284D9" w14:textId="77777777" w:rsidTr="00F555A5">
        <w:trPr>
          <w:gridAfter w:val="1"/>
          <w:wAfter w:w="10" w:type="dxa"/>
          <w:trHeight w:val="1273"/>
          <w:jc w:val="center"/>
        </w:trPr>
        <w:tc>
          <w:tcPr>
            <w:tcW w:w="2243" w:type="dxa"/>
            <w:gridSpan w:val="2"/>
            <w:shd w:val="clear" w:color="auto" w:fill="FFFFFF"/>
          </w:tcPr>
          <w:p w14:paraId="55343E38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lastRenderedPageBreak/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043CB13" w14:textId="77777777" w:rsidR="00871FB3" w:rsidRPr="00DC6133" w:rsidRDefault="00871FB3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Nie przewiduje się wpływu projektowanego rozporządzenia na konkurencyjność gospodarki i przedsiębiorczość, w tym funkcjonowanie przedsiębiorców oraz na rodzinę, obywateli i gospodarstwa domowe.</w:t>
            </w:r>
          </w:p>
        </w:tc>
      </w:tr>
      <w:tr w:rsidR="00871FB3" w:rsidRPr="00DC6133" w14:paraId="6EEE9B2C" w14:textId="77777777" w:rsidTr="00F555A5">
        <w:trPr>
          <w:gridAfter w:val="1"/>
          <w:wAfter w:w="10" w:type="dxa"/>
          <w:trHeight w:val="342"/>
          <w:jc w:val="center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E3F56B7" w14:textId="77777777" w:rsidR="00871FB3" w:rsidRPr="00DC6133" w:rsidRDefault="00871FB3" w:rsidP="00871FB3">
            <w:pPr>
              <w:keepNext/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871FB3" w:rsidRPr="00DC6133" w14:paraId="3BDD23FC" w14:textId="77777777" w:rsidTr="00F555A5">
        <w:trPr>
          <w:gridAfter w:val="1"/>
          <w:wAfter w:w="10" w:type="dxa"/>
          <w:trHeight w:val="151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52C3C804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871FB3" w:rsidRPr="00DC6133" w14:paraId="0F699E97" w14:textId="77777777" w:rsidTr="00F555A5">
        <w:trPr>
          <w:gridAfter w:val="1"/>
          <w:wAfter w:w="10" w:type="dxa"/>
          <w:trHeight w:val="946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2DBA4EEB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Wprowadzane są obciążenia poza bezwzględnie wymaganymi przez UE 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F725513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4036B396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0D945ABC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871FB3" w:rsidRPr="00DC6133" w14:paraId="2B313AD7" w14:textId="77777777" w:rsidTr="00F555A5">
        <w:trPr>
          <w:gridAfter w:val="1"/>
          <w:wAfter w:w="10" w:type="dxa"/>
          <w:trHeight w:val="1245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61F5B47C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zmniejszenie liczby dokumentów </w:t>
            </w:r>
          </w:p>
          <w:p w14:paraId="2A19EAA4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zmniejszenie liczby procedur</w:t>
            </w:r>
          </w:p>
          <w:p w14:paraId="3F4B5724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skrócenie czasu na załatwienie sprawy</w:t>
            </w:r>
          </w:p>
          <w:p w14:paraId="485AD772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inne: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6008024F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zwiększenie liczby dokumentów</w:t>
            </w:r>
          </w:p>
          <w:p w14:paraId="2E4D7EFF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zwiększenie liczby procedur</w:t>
            </w:r>
          </w:p>
          <w:p w14:paraId="6E0DBE7F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wydłużenie czasu na załatwienie sprawy</w:t>
            </w:r>
          </w:p>
          <w:p w14:paraId="20520161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inne: </w:t>
            </w:r>
          </w:p>
          <w:p w14:paraId="050BA7CE" w14:textId="77777777" w:rsidR="00871FB3" w:rsidRPr="00DC6133" w:rsidRDefault="00871FB3" w:rsidP="00871FB3">
            <w:pPr>
              <w:keepNext/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871FB3" w:rsidRPr="00DC6133" w14:paraId="2A29D829" w14:textId="77777777" w:rsidTr="00F555A5">
        <w:trPr>
          <w:gridAfter w:val="1"/>
          <w:wAfter w:w="10" w:type="dxa"/>
          <w:trHeight w:val="870"/>
          <w:jc w:val="center"/>
        </w:trPr>
        <w:tc>
          <w:tcPr>
            <w:tcW w:w="5111" w:type="dxa"/>
            <w:gridSpan w:val="12"/>
            <w:shd w:val="clear" w:color="auto" w:fill="FFFFFF"/>
          </w:tcPr>
          <w:p w14:paraId="1AAB1C01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15E1A4C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0223977A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2A76C9D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871FB3" w:rsidRPr="00DC6133" w14:paraId="3F0530D8" w14:textId="77777777" w:rsidTr="00F555A5">
        <w:trPr>
          <w:gridAfter w:val="1"/>
          <w:wAfter w:w="10" w:type="dxa"/>
          <w:trHeight w:val="630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25656F7" w14:textId="77777777" w:rsidR="00871FB3" w:rsidRPr="00DC6133" w:rsidRDefault="00871FB3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Komentarz: </w:t>
            </w:r>
          </w:p>
          <w:p w14:paraId="655312CD" w14:textId="77777777" w:rsidR="00871FB3" w:rsidRPr="00DC6133" w:rsidRDefault="00871FB3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Nie przewiduje się wpływu projektowanego rozporządzenia w zakresie obciążeń regulacyjnych.</w:t>
            </w:r>
          </w:p>
        </w:tc>
      </w:tr>
      <w:tr w:rsidR="00871FB3" w:rsidRPr="00DC6133" w14:paraId="4DCC2DBA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452F974D" w14:textId="77777777" w:rsidR="00871FB3" w:rsidRPr="00DC6133" w:rsidRDefault="00871FB3" w:rsidP="00871FB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 w:line="240" w:lineRule="auto"/>
              <w:ind w:left="378" w:hanging="34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871FB3" w:rsidRPr="00DC6133" w14:paraId="6C0B1F1D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2D0320B9" w14:textId="77777777" w:rsidR="00871FB3" w:rsidRPr="00DC6133" w:rsidRDefault="00871FB3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Nie przewiduje się wpływu projektowanego rozporządzenia na rynek pracy.</w:t>
            </w:r>
          </w:p>
        </w:tc>
      </w:tr>
      <w:tr w:rsidR="00871FB3" w:rsidRPr="00DC6133" w14:paraId="2C197661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01B58770" w14:textId="77777777" w:rsidR="00871FB3" w:rsidRPr="00DC6133" w:rsidRDefault="00871FB3" w:rsidP="00871FB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 w:line="240" w:lineRule="auto"/>
              <w:ind w:left="378" w:hanging="34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871FB3" w:rsidRPr="00DC6133" w14:paraId="16F869EA" w14:textId="77777777" w:rsidTr="00F555A5">
        <w:trPr>
          <w:gridAfter w:val="1"/>
          <w:wAfter w:w="10" w:type="dxa"/>
          <w:trHeight w:val="1031"/>
          <w:jc w:val="center"/>
        </w:trPr>
        <w:tc>
          <w:tcPr>
            <w:tcW w:w="3547" w:type="dxa"/>
            <w:gridSpan w:val="5"/>
            <w:shd w:val="clear" w:color="auto" w:fill="FFFFFF"/>
          </w:tcPr>
          <w:p w14:paraId="67DF44E6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środowisko naturalne</w:t>
            </w:r>
          </w:p>
          <w:p w14:paraId="7B631E57" w14:textId="1CC258E8" w:rsidR="00871FB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sytuacja i rozwój regionalny</w:t>
            </w:r>
          </w:p>
          <w:p w14:paraId="66D986FC" w14:textId="516DBD8F" w:rsidR="00871FB3" w:rsidRPr="00DC6133" w:rsidRDefault="00871FB3" w:rsidP="00F420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B7FA9">
              <w:rPr>
                <w:rFonts w:ascii="Times New Roman" w:eastAsia="Calibri" w:hAnsi="Times New Roman" w:cs="Times New Roman"/>
                <w:spacing w:val="-2"/>
              </w:rPr>
              <w:t>sądy powszechne, administracyjne lub wojskowe</w:t>
            </w:r>
          </w:p>
          <w:p w14:paraId="248FFA4D" w14:textId="7697C954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687" w:type="dxa"/>
            <w:gridSpan w:val="15"/>
            <w:shd w:val="clear" w:color="auto" w:fill="FFFFFF"/>
          </w:tcPr>
          <w:p w14:paraId="428217D7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demografia</w:t>
            </w:r>
          </w:p>
          <w:p w14:paraId="675B916C" w14:textId="77777777" w:rsidR="00871FB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mienie państwowe</w:t>
            </w:r>
          </w:p>
          <w:p w14:paraId="13D971F8" w14:textId="3EE6C06A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inne: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17F5E8E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informatyzacja</w:t>
            </w:r>
          </w:p>
          <w:p w14:paraId="4FF5778E" w14:textId="38139C2B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</w:r>
            <w:r w:rsidR="00C22FAD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C6133">
              <w:rPr>
                <w:rFonts w:ascii="Times New Roman" w:eastAsia="Calibri" w:hAnsi="Times New Roman" w:cs="Times New Roman"/>
                <w:color w:val="000000"/>
              </w:rPr>
              <w:t xml:space="preserve"> zdrowie</w:t>
            </w:r>
          </w:p>
        </w:tc>
      </w:tr>
      <w:tr w:rsidR="00871FB3" w:rsidRPr="00DC6133" w14:paraId="6CBB9639" w14:textId="77777777" w:rsidTr="00F555A5">
        <w:trPr>
          <w:gridAfter w:val="1"/>
          <w:wAfter w:w="10" w:type="dxa"/>
          <w:trHeight w:val="712"/>
          <w:jc w:val="center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303FBFD" w14:textId="77777777" w:rsidR="00871FB3" w:rsidRPr="00DC6133" w:rsidRDefault="00871FB3" w:rsidP="00871FB3">
            <w:pPr>
              <w:spacing w:before="60" w:after="6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AE70BC6" w14:textId="2358281B" w:rsidR="00871FB3" w:rsidRPr="00DC6133" w:rsidRDefault="009B54A8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4A8">
              <w:rPr>
                <w:rFonts w:ascii="Times New Roman" w:eastAsia="Calibri" w:hAnsi="Times New Roman" w:cs="Times New Roman"/>
                <w:color w:val="000000"/>
              </w:rPr>
              <w:t>Określenie przez projektowane rozporządzenie warunków bezpiecznego stosowania promieniowania jonizującego</w:t>
            </w:r>
            <w:r w:rsidR="00BD1BA8">
              <w:rPr>
                <w:rFonts w:ascii="Times New Roman" w:eastAsia="Calibri" w:hAnsi="Times New Roman" w:cs="Times New Roman"/>
                <w:color w:val="000000"/>
              </w:rPr>
              <w:t xml:space="preserve"> dla wszystkich rodzajów ekspozycji medycznej</w:t>
            </w:r>
            <w:r w:rsidRPr="009B54A8">
              <w:rPr>
                <w:rFonts w:ascii="Times New Roman" w:eastAsia="Calibri" w:hAnsi="Times New Roman" w:cs="Times New Roman"/>
                <w:color w:val="000000"/>
              </w:rPr>
              <w:t xml:space="preserve"> pozwoli zapewnić odpowiedni poziom ochrony pacjentów poddawanych medycznym procedurom radiologicznym przed zagrożeniami związanymi ze stosowaniem promieniowania jonizującego. </w:t>
            </w:r>
            <w:r w:rsidR="009E0AA7">
              <w:rPr>
                <w:rFonts w:ascii="Times New Roman" w:eastAsia="Calibri" w:hAnsi="Times New Roman" w:cs="Times New Roman"/>
                <w:color w:val="000000"/>
              </w:rPr>
              <w:t>P</w:t>
            </w:r>
            <w:r w:rsidR="009E0AA7" w:rsidRPr="009B54A8">
              <w:rPr>
                <w:rFonts w:ascii="Times New Roman" w:eastAsia="Calibri" w:hAnsi="Times New Roman" w:cs="Times New Roman"/>
                <w:color w:val="000000"/>
              </w:rPr>
              <w:t xml:space="preserve">rzepisy projektowanego rozporządzenia </w:t>
            </w:r>
            <w:r w:rsidR="009E0AA7">
              <w:rPr>
                <w:rFonts w:ascii="Times New Roman" w:eastAsia="Calibri" w:hAnsi="Times New Roman" w:cs="Times New Roman"/>
                <w:color w:val="000000"/>
              </w:rPr>
              <w:t>w</w:t>
            </w:r>
            <w:r w:rsidRPr="009B54A8">
              <w:rPr>
                <w:rFonts w:ascii="Times New Roman" w:eastAsia="Calibri" w:hAnsi="Times New Roman" w:cs="Times New Roman"/>
                <w:color w:val="000000"/>
              </w:rPr>
              <w:t xml:space="preserve">raz </w:t>
            </w:r>
            <w:r w:rsidR="009E0AA7" w:rsidRPr="009E0AA7">
              <w:rPr>
                <w:rFonts w:ascii="Times New Roman" w:eastAsia="Calibri" w:hAnsi="Times New Roman" w:cs="Times New Roman"/>
                <w:color w:val="000000"/>
              </w:rPr>
              <w:t>ustaw</w:t>
            </w:r>
            <w:r w:rsidR="00B25E39">
              <w:rPr>
                <w:rFonts w:ascii="Times New Roman" w:eastAsia="Calibri" w:hAnsi="Times New Roman" w:cs="Times New Roman"/>
                <w:color w:val="000000"/>
              </w:rPr>
              <w:t>ą</w:t>
            </w:r>
            <w:r w:rsidR="009E0AA7" w:rsidRPr="009E0AA7">
              <w:rPr>
                <w:rFonts w:ascii="Times New Roman" w:eastAsia="Calibri" w:hAnsi="Times New Roman" w:cs="Times New Roman"/>
                <w:color w:val="000000"/>
              </w:rPr>
              <w:t xml:space="preserve"> z dnia 29 listopada 2000 r. </w:t>
            </w:r>
            <w:r w:rsidRPr="009B54A8">
              <w:rPr>
                <w:rFonts w:ascii="Times New Roman" w:eastAsia="Calibri" w:hAnsi="Times New Roman" w:cs="Times New Roman"/>
                <w:color w:val="000000"/>
              </w:rPr>
              <w:t xml:space="preserve"> – Prawo atomowe</w:t>
            </w:r>
            <w:r w:rsidR="009E0AA7">
              <w:rPr>
                <w:rFonts w:ascii="Times New Roman" w:eastAsia="Calibri" w:hAnsi="Times New Roman" w:cs="Times New Roman"/>
                <w:color w:val="000000"/>
              </w:rPr>
              <w:t xml:space="preserve"> oraz pozostałymi aktami</w:t>
            </w:r>
            <w:r w:rsidRPr="009B54A8">
              <w:rPr>
                <w:rFonts w:ascii="Times New Roman" w:eastAsia="Calibri" w:hAnsi="Times New Roman" w:cs="Times New Roman"/>
                <w:color w:val="000000"/>
              </w:rPr>
              <w:t xml:space="preserve"> wykonawczymi do </w:t>
            </w:r>
            <w:r w:rsidR="009E0AA7">
              <w:rPr>
                <w:rFonts w:ascii="Times New Roman" w:eastAsia="Calibri" w:hAnsi="Times New Roman" w:cs="Times New Roman"/>
                <w:color w:val="000000"/>
              </w:rPr>
              <w:t>tej</w:t>
            </w:r>
            <w:r w:rsidRPr="009B54A8">
              <w:rPr>
                <w:rFonts w:ascii="Times New Roman" w:eastAsia="Calibri" w:hAnsi="Times New Roman" w:cs="Times New Roman"/>
                <w:color w:val="000000"/>
              </w:rPr>
              <w:t xml:space="preserve"> ustawy, </w:t>
            </w:r>
            <w:r w:rsidR="009E0AA7">
              <w:rPr>
                <w:rFonts w:ascii="Times New Roman" w:eastAsia="Calibri" w:hAnsi="Times New Roman" w:cs="Times New Roman"/>
                <w:color w:val="000000"/>
              </w:rPr>
              <w:t>(</w:t>
            </w:r>
            <w:r w:rsidRPr="009B54A8">
              <w:rPr>
                <w:rFonts w:ascii="Times New Roman" w:eastAsia="Calibri" w:hAnsi="Times New Roman" w:cs="Times New Roman"/>
                <w:color w:val="000000"/>
              </w:rPr>
              <w:t xml:space="preserve">np. rozporządzeniami dotyczącymi kontroli parametrów fizycznych urządzeń radiologicznych, audytów klinicznych, czy diagnostycznych poziomów referencyjnych) współtworzą kompleksowy system ochrony radiologicznej pacjenta zgodny z przepisami wdrażanej </w:t>
            </w:r>
            <w:r w:rsidR="00E27514">
              <w:rPr>
                <w:rFonts w:ascii="Times New Roman" w:eastAsia="Calibri" w:hAnsi="Times New Roman" w:cs="Times New Roman"/>
                <w:color w:val="000000"/>
              </w:rPr>
              <w:t>d</w:t>
            </w:r>
            <w:r w:rsidRPr="009B54A8">
              <w:rPr>
                <w:rFonts w:ascii="Times New Roman" w:eastAsia="Calibri" w:hAnsi="Times New Roman" w:cs="Times New Roman"/>
                <w:color w:val="000000"/>
              </w:rPr>
              <w:t>yrektywy 2013/59/</w:t>
            </w:r>
            <w:proofErr w:type="spellStart"/>
            <w:r w:rsidR="009E0AA7" w:rsidRPr="009B54A8">
              <w:rPr>
                <w:rFonts w:ascii="Times New Roman" w:eastAsia="Calibri" w:hAnsi="Times New Roman" w:cs="Times New Roman"/>
                <w:color w:val="000000"/>
              </w:rPr>
              <w:t>Euratom</w:t>
            </w:r>
            <w:proofErr w:type="spellEnd"/>
            <w:r w:rsidR="00E2751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871FB3" w:rsidRPr="00DC6133" w14:paraId="6C269D26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737F0D1A" w14:textId="77777777" w:rsidR="00871FB3" w:rsidRPr="00DC6133" w:rsidRDefault="00871FB3" w:rsidP="00871FB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 w:line="240" w:lineRule="auto"/>
              <w:ind w:left="378" w:hanging="34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Planowane</w:t>
            </w:r>
            <w:r w:rsidRPr="00DC6133">
              <w:rPr>
                <w:rFonts w:ascii="Times New Roman" w:eastAsia="Calibri" w:hAnsi="Times New Roman" w:cs="Times New Roman"/>
                <w:b/>
              </w:rPr>
              <w:t xml:space="preserve"> wykonanie </w:t>
            </w: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przepisów</w:t>
            </w:r>
            <w:r w:rsidRPr="00DC6133">
              <w:rPr>
                <w:rFonts w:ascii="Times New Roman" w:eastAsia="Calibri" w:hAnsi="Times New Roman" w:cs="Times New Roman"/>
                <w:b/>
              </w:rPr>
              <w:t xml:space="preserve"> aktu prawnego</w:t>
            </w:r>
          </w:p>
        </w:tc>
      </w:tr>
      <w:tr w:rsidR="00871FB3" w:rsidRPr="00DC6133" w14:paraId="41A44558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20679AA4" w14:textId="1AED45B1" w:rsidR="00871FB3" w:rsidRPr="00DC6133" w:rsidRDefault="00871FB3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C6133">
              <w:rPr>
                <w:rFonts w:ascii="Times New Roman" w:eastAsia="Calibri" w:hAnsi="Times New Roman" w:cs="Times New Roman"/>
              </w:rPr>
              <w:t xml:space="preserve">Rozporządzenie </w:t>
            </w:r>
            <w:r>
              <w:rPr>
                <w:rFonts w:ascii="Times New Roman" w:eastAsia="Calibri" w:hAnsi="Times New Roman" w:cs="Times New Roman"/>
              </w:rPr>
              <w:t>wejdzie</w:t>
            </w:r>
            <w:r w:rsidRPr="00DC6133">
              <w:rPr>
                <w:rFonts w:ascii="Times New Roman" w:eastAsia="Calibri" w:hAnsi="Times New Roman" w:cs="Times New Roman"/>
              </w:rPr>
              <w:t xml:space="preserve"> w życie </w:t>
            </w:r>
            <w:r w:rsidR="005A2DF7">
              <w:rPr>
                <w:rFonts w:ascii="Times New Roman" w:eastAsia="Calibri" w:hAnsi="Times New Roman" w:cs="Times New Roman"/>
              </w:rPr>
              <w:t>z</w:t>
            </w:r>
            <w:r w:rsidR="005A2DF7" w:rsidRPr="001908D2">
              <w:rPr>
                <w:rFonts w:ascii="Times New Roman" w:eastAsia="Calibri" w:hAnsi="Times New Roman" w:cs="Times New Roman"/>
              </w:rPr>
              <w:t xml:space="preserve"> </w:t>
            </w:r>
            <w:r w:rsidR="00DC4EE5" w:rsidRPr="001908D2">
              <w:rPr>
                <w:rFonts w:ascii="Times New Roman" w:eastAsia="Calibri" w:hAnsi="Times New Roman" w:cs="Times New Roman"/>
              </w:rPr>
              <w:t>dni</w:t>
            </w:r>
            <w:r w:rsidR="005A2DF7">
              <w:rPr>
                <w:rFonts w:ascii="Times New Roman" w:eastAsia="Calibri" w:hAnsi="Times New Roman" w:cs="Times New Roman"/>
              </w:rPr>
              <w:t>em</w:t>
            </w:r>
            <w:r w:rsidR="00DC4EE5" w:rsidRPr="001908D2">
              <w:rPr>
                <w:rFonts w:ascii="Times New Roman" w:eastAsia="Calibri" w:hAnsi="Times New Roman" w:cs="Times New Roman"/>
              </w:rPr>
              <w:t xml:space="preserve"> następującym po dniu ogłoszenia.</w:t>
            </w:r>
          </w:p>
        </w:tc>
      </w:tr>
      <w:tr w:rsidR="00871FB3" w:rsidRPr="00DC6133" w14:paraId="1A7284F0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56050A8C" w14:textId="77777777" w:rsidR="00871FB3" w:rsidRPr="00DC6133" w:rsidRDefault="00871FB3" w:rsidP="00871FB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 w:line="240" w:lineRule="auto"/>
              <w:ind w:left="378" w:hanging="34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</w:rPr>
              <w:t xml:space="preserve">W jaki </w:t>
            </w: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sposób</w:t>
            </w:r>
            <w:r w:rsidRPr="00DC6133">
              <w:rPr>
                <w:rFonts w:ascii="Times New Roman" w:eastAsia="Calibri" w:hAnsi="Times New Roman" w:cs="Times New Roman"/>
                <w:b/>
              </w:rPr>
              <w:t xml:space="preserve"> i kiedy nastąpi ewaluacja efektów projektu oraz jakie mierniki zostaną zastosowane?</w:t>
            </w:r>
          </w:p>
        </w:tc>
      </w:tr>
      <w:tr w:rsidR="00871FB3" w:rsidRPr="00DC6133" w14:paraId="02257DA6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FFFFFF"/>
          </w:tcPr>
          <w:p w14:paraId="3662AA21" w14:textId="1A77D3CA" w:rsidR="00871FB3" w:rsidRPr="00DC6133" w:rsidRDefault="009B54A8" w:rsidP="00871FB3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9B54A8">
              <w:rPr>
                <w:rFonts w:ascii="Times New Roman" w:eastAsia="Calibri" w:hAnsi="Times New Roman" w:cs="Times New Roman"/>
                <w:color w:val="000000"/>
              </w:rPr>
              <w:t xml:space="preserve">Ewaluacja efektów projektu </w:t>
            </w:r>
            <w:r w:rsidR="009E0AA7">
              <w:rPr>
                <w:rFonts w:ascii="Times New Roman" w:eastAsia="Calibri" w:hAnsi="Times New Roman" w:cs="Times New Roman"/>
                <w:color w:val="000000"/>
              </w:rPr>
              <w:t xml:space="preserve">rozporządzenia </w:t>
            </w:r>
            <w:r w:rsidRPr="009B54A8">
              <w:rPr>
                <w:rFonts w:ascii="Times New Roman" w:eastAsia="Calibri" w:hAnsi="Times New Roman" w:cs="Times New Roman"/>
                <w:color w:val="000000"/>
              </w:rPr>
              <w:t>będzie dokonywana na bieżąco na podstawie wyników kontroli w zakresie przestrzegania wymagań ochrony radiologicznej pacjenta przeprowadzanej przez organy Państwowej Inspekcji Sanitarnej oraz na podstawie wyników audytów klinicznych zewnętrznych przeprowadzanych przez komisje d</w:t>
            </w:r>
            <w:r w:rsidR="009E0AA7">
              <w:rPr>
                <w:rFonts w:ascii="Times New Roman" w:eastAsia="Calibri" w:hAnsi="Times New Roman" w:cs="Times New Roman"/>
                <w:color w:val="000000"/>
              </w:rPr>
              <w:t xml:space="preserve">o </w:t>
            </w:r>
            <w:r w:rsidRPr="009B54A8">
              <w:rPr>
                <w:rFonts w:ascii="Times New Roman" w:eastAsia="Calibri" w:hAnsi="Times New Roman" w:cs="Times New Roman"/>
                <w:color w:val="000000"/>
              </w:rPr>
              <w:t>s</w:t>
            </w:r>
            <w:r w:rsidR="009E0AA7">
              <w:rPr>
                <w:rFonts w:ascii="Times New Roman" w:eastAsia="Calibri" w:hAnsi="Times New Roman" w:cs="Times New Roman"/>
                <w:color w:val="000000"/>
              </w:rPr>
              <w:t>praw</w:t>
            </w:r>
            <w:r w:rsidRPr="009B54A8">
              <w:rPr>
                <w:rFonts w:ascii="Times New Roman" w:eastAsia="Calibri" w:hAnsi="Times New Roman" w:cs="Times New Roman"/>
                <w:color w:val="000000"/>
              </w:rPr>
              <w:t xml:space="preserve"> procedur i</w:t>
            </w:r>
            <w:r w:rsidR="009E0AA7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9B54A8">
              <w:rPr>
                <w:rFonts w:ascii="Times New Roman" w:eastAsia="Calibri" w:hAnsi="Times New Roman" w:cs="Times New Roman"/>
                <w:color w:val="000000"/>
              </w:rPr>
              <w:t xml:space="preserve">audytów klinicznych zewnętrznych.  </w:t>
            </w:r>
          </w:p>
        </w:tc>
      </w:tr>
      <w:tr w:rsidR="00871FB3" w:rsidRPr="00DC6133" w14:paraId="28C913F3" w14:textId="77777777" w:rsidTr="00F555A5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99CCFF"/>
          </w:tcPr>
          <w:p w14:paraId="7351EB9E" w14:textId="77777777" w:rsidR="00871FB3" w:rsidRPr="00DC6133" w:rsidRDefault="00871FB3" w:rsidP="00871FB3">
            <w:pPr>
              <w:numPr>
                <w:ilvl w:val="0"/>
                <w:numId w:val="1"/>
              </w:numPr>
              <w:tabs>
                <w:tab w:val="clear" w:pos="360"/>
              </w:tabs>
              <w:spacing w:before="60" w:after="60" w:line="240" w:lineRule="auto"/>
              <w:ind w:left="378" w:hanging="34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 xml:space="preserve">Załączniki </w:t>
            </w:r>
            <w:r w:rsidRPr="00DC6133">
              <w:rPr>
                <w:rFonts w:ascii="Times New Roman" w:eastAsia="Calibri" w:hAnsi="Times New Roman" w:cs="Times New Roman"/>
                <w:b/>
              </w:rPr>
              <w:t>(</w:t>
            </w: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>istotne</w:t>
            </w:r>
            <w:r w:rsidRPr="00DC6133">
              <w:rPr>
                <w:rFonts w:ascii="Times New Roman" w:eastAsia="Calibri" w:hAnsi="Times New Roman" w:cs="Times New Roman"/>
                <w:b/>
              </w:rPr>
              <w:t xml:space="preserve"> dokumenty źródłowe, badania, analizy itp.</w:t>
            </w:r>
            <w:r w:rsidRPr="00DC6133">
              <w:rPr>
                <w:rFonts w:ascii="Times New Roman" w:eastAsia="Calibri" w:hAnsi="Times New Roman" w:cs="Times New Roman"/>
                <w:b/>
                <w:color w:val="000000"/>
              </w:rPr>
              <w:t xml:space="preserve">) </w:t>
            </w:r>
          </w:p>
        </w:tc>
      </w:tr>
      <w:tr w:rsidR="00F455D5" w:rsidRPr="005E1253" w14:paraId="001AE0E1" w14:textId="77777777" w:rsidTr="0066263F">
        <w:trPr>
          <w:gridAfter w:val="1"/>
          <w:wAfter w:w="10" w:type="dxa"/>
          <w:trHeight w:val="142"/>
          <w:jc w:val="center"/>
        </w:trPr>
        <w:tc>
          <w:tcPr>
            <w:tcW w:w="10937" w:type="dxa"/>
            <w:gridSpan w:val="29"/>
            <w:shd w:val="clear" w:color="auto" w:fill="auto"/>
          </w:tcPr>
          <w:p w14:paraId="0B0CAB78" w14:textId="6FAF6B74" w:rsidR="00F455D5" w:rsidRPr="005E1253" w:rsidRDefault="009B54A8" w:rsidP="0066263F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  <w:t>Brak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lang w:val="en-GB"/>
              </w:rPr>
              <w:t>.</w:t>
            </w:r>
          </w:p>
        </w:tc>
      </w:tr>
    </w:tbl>
    <w:p w14:paraId="53FA599B" w14:textId="77777777" w:rsidR="00A803E7" w:rsidRPr="00DC6133" w:rsidRDefault="00A803E7" w:rsidP="00A803E7">
      <w:pPr>
        <w:spacing w:after="200" w:line="276" w:lineRule="auto"/>
        <w:rPr>
          <w:rFonts w:ascii="Times New Roman" w:eastAsia="Times New Roman" w:hAnsi="Times New Roman" w:cs="Times New Roman"/>
          <w:lang w:val="en-US" w:eastAsia="pl-PL"/>
        </w:rPr>
      </w:pPr>
    </w:p>
    <w:sectPr w:rsidR="00A803E7" w:rsidRPr="00DC6133" w:rsidSect="002641A6">
      <w:footerReference w:type="default" r:id="rId9"/>
      <w:pgSz w:w="11907" w:h="16839" w:code="9"/>
      <w:pgMar w:top="567" w:right="567" w:bottom="567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CD637" w14:textId="77777777" w:rsidR="00C22FAD" w:rsidRDefault="00C22FAD">
      <w:pPr>
        <w:spacing w:after="0" w:line="240" w:lineRule="auto"/>
      </w:pPr>
      <w:r>
        <w:separator/>
      </w:r>
    </w:p>
  </w:endnote>
  <w:endnote w:type="continuationSeparator" w:id="0">
    <w:p w14:paraId="66E59424" w14:textId="77777777" w:rsidR="00C22FAD" w:rsidRDefault="00C2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910315"/>
      <w:docPartObj>
        <w:docPartGallery w:val="Page Numbers (Bottom of Page)"/>
        <w:docPartUnique/>
      </w:docPartObj>
    </w:sdtPr>
    <w:sdtEndPr/>
    <w:sdtContent>
      <w:p w14:paraId="6F9D6070" w14:textId="4F443110" w:rsidR="00EC0573" w:rsidRDefault="00EC0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624289" w14:textId="77777777" w:rsidR="00EC0573" w:rsidRDefault="00EC05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7158" w14:textId="77777777" w:rsidR="00C22FAD" w:rsidRDefault="00C22FAD">
      <w:pPr>
        <w:spacing w:after="0" w:line="240" w:lineRule="auto"/>
      </w:pPr>
      <w:r>
        <w:separator/>
      </w:r>
    </w:p>
  </w:footnote>
  <w:footnote w:type="continuationSeparator" w:id="0">
    <w:p w14:paraId="251748EB" w14:textId="77777777" w:rsidR="00C22FAD" w:rsidRDefault="00C22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A422D"/>
    <w:multiLevelType w:val="hybridMultilevel"/>
    <w:tmpl w:val="259E71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6684"/>
    <w:multiLevelType w:val="hybridMultilevel"/>
    <w:tmpl w:val="31448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117B1"/>
    <w:multiLevelType w:val="hybridMultilevel"/>
    <w:tmpl w:val="3410AB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640A6"/>
    <w:multiLevelType w:val="hybridMultilevel"/>
    <w:tmpl w:val="3DD0E3C8"/>
    <w:lvl w:ilvl="0" w:tplc="2F261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A4A22"/>
    <w:multiLevelType w:val="hybridMultilevel"/>
    <w:tmpl w:val="9E94FF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C71450"/>
    <w:multiLevelType w:val="hybridMultilevel"/>
    <w:tmpl w:val="F69A2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766D8"/>
    <w:multiLevelType w:val="hybridMultilevel"/>
    <w:tmpl w:val="968A9404"/>
    <w:lvl w:ilvl="0" w:tplc="8CE4A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D1210"/>
    <w:multiLevelType w:val="hybridMultilevel"/>
    <w:tmpl w:val="4CCA61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6C4E3C"/>
    <w:multiLevelType w:val="hybridMultilevel"/>
    <w:tmpl w:val="1088A3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C77D1C"/>
    <w:multiLevelType w:val="hybridMultilevel"/>
    <w:tmpl w:val="F676C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6378615">
    <w:abstractNumId w:val="3"/>
  </w:num>
  <w:num w:numId="2" w16cid:durableId="2111657917">
    <w:abstractNumId w:val="7"/>
  </w:num>
  <w:num w:numId="3" w16cid:durableId="29183394">
    <w:abstractNumId w:val="10"/>
  </w:num>
  <w:num w:numId="4" w16cid:durableId="29964731">
    <w:abstractNumId w:val="6"/>
  </w:num>
  <w:num w:numId="5" w16cid:durableId="1736925215">
    <w:abstractNumId w:val="11"/>
  </w:num>
  <w:num w:numId="6" w16cid:durableId="995718300">
    <w:abstractNumId w:val="1"/>
  </w:num>
  <w:num w:numId="7" w16cid:durableId="1307079106">
    <w:abstractNumId w:val="0"/>
  </w:num>
  <w:num w:numId="8" w16cid:durableId="121581452">
    <w:abstractNumId w:val="5"/>
  </w:num>
  <w:num w:numId="9" w16cid:durableId="202207828">
    <w:abstractNumId w:val="8"/>
  </w:num>
  <w:num w:numId="10" w16cid:durableId="197164122">
    <w:abstractNumId w:val="9"/>
  </w:num>
  <w:num w:numId="11" w16cid:durableId="922639210">
    <w:abstractNumId w:val="2"/>
  </w:num>
  <w:num w:numId="12" w16cid:durableId="21445383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E7"/>
    <w:rsid w:val="00003011"/>
    <w:rsid w:val="00026EFB"/>
    <w:rsid w:val="00036C38"/>
    <w:rsid w:val="00042C3F"/>
    <w:rsid w:val="00050C92"/>
    <w:rsid w:val="00066350"/>
    <w:rsid w:val="000D6D4F"/>
    <w:rsid w:val="00112BFF"/>
    <w:rsid w:val="001270A3"/>
    <w:rsid w:val="001908D2"/>
    <w:rsid w:val="00194098"/>
    <w:rsid w:val="001A425B"/>
    <w:rsid w:val="001B29B2"/>
    <w:rsid w:val="001D4270"/>
    <w:rsid w:val="001E1C1D"/>
    <w:rsid w:val="001F12C6"/>
    <w:rsid w:val="00223A55"/>
    <w:rsid w:val="002A7342"/>
    <w:rsid w:val="002C6348"/>
    <w:rsid w:val="002D064B"/>
    <w:rsid w:val="002E7BAC"/>
    <w:rsid w:val="003125BD"/>
    <w:rsid w:val="00323483"/>
    <w:rsid w:val="003753B8"/>
    <w:rsid w:val="003821EA"/>
    <w:rsid w:val="00397F32"/>
    <w:rsid w:val="003B2832"/>
    <w:rsid w:val="003D040A"/>
    <w:rsid w:val="003D1A17"/>
    <w:rsid w:val="003D67F0"/>
    <w:rsid w:val="003F05FF"/>
    <w:rsid w:val="004267B8"/>
    <w:rsid w:val="00434AB8"/>
    <w:rsid w:val="0045055E"/>
    <w:rsid w:val="00500970"/>
    <w:rsid w:val="005079B4"/>
    <w:rsid w:val="005617E8"/>
    <w:rsid w:val="005663C3"/>
    <w:rsid w:val="005A2DF7"/>
    <w:rsid w:val="005C1772"/>
    <w:rsid w:val="005E08B3"/>
    <w:rsid w:val="005E1253"/>
    <w:rsid w:val="005F4D81"/>
    <w:rsid w:val="0060087E"/>
    <w:rsid w:val="00605E45"/>
    <w:rsid w:val="00623697"/>
    <w:rsid w:val="00626930"/>
    <w:rsid w:val="00636B5F"/>
    <w:rsid w:val="0064385D"/>
    <w:rsid w:val="0066263F"/>
    <w:rsid w:val="00672766"/>
    <w:rsid w:val="00681EC8"/>
    <w:rsid w:val="006B11BD"/>
    <w:rsid w:val="006B439A"/>
    <w:rsid w:val="006B5869"/>
    <w:rsid w:val="007106F3"/>
    <w:rsid w:val="00717308"/>
    <w:rsid w:val="007800B4"/>
    <w:rsid w:val="0078485D"/>
    <w:rsid w:val="007A0167"/>
    <w:rsid w:val="007C6126"/>
    <w:rsid w:val="007F3E30"/>
    <w:rsid w:val="007F56F6"/>
    <w:rsid w:val="00867859"/>
    <w:rsid w:val="00871FB3"/>
    <w:rsid w:val="0088348F"/>
    <w:rsid w:val="008A103C"/>
    <w:rsid w:val="008A536D"/>
    <w:rsid w:val="008B298A"/>
    <w:rsid w:val="008B4F0C"/>
    <w:rsid w:val="008E4DAF"/>
    <w:rsid w:val="008E66C8"/>
    <w:rsid w:val="008F2F64"/>
    <w:rsid w:val="00912B47"/>
    <w:rsid w:val="00961557"/>
    <w:rsid w:val="00964C86"/>
    <w:rsid w:val="009A03F6"/>
    <w:rsid w:val="009B54A8"/>
    <w:rsid w:val="009C0921"/>
    <w:rsid w:val="009D56F5"/>
    <w:rsid w:val="009D5E7E"/>
    <w:rsid w:val="009E0AA7"/>
    <w:rsid w:val="009E33BC"/>
    <w:rsid w:val="009F618F"/>
    <w:rsid w:val="00A57730"/>
    <w:rsid w:val="00A57CFF"/>
    <w:rsid w:val="00A803E7"/>
    <w:rsid w:val="00A83A6E"/>
    <w:rsid w:val="00AB4EA0"/>
    <w:rsid w:val="00B25E39"/>
    <w:rsid w:val="00B47B82"/>
    <w:rsid w:val="00B50732"/>
    <w:rsid w:val="00B52442"/>
    <w:rsid w:val="00B57933"/>
    <w:rsid w:val="00B60669"/>
    <w:rsid w:val="00B91385"/>
    <w:rsid w:val="00BD1BA8"/>
    <w:rsid w:val="00C22FAD"/>
    <w:rsid w:val="00C238D2"/>
    <w:rsid w:val="00C46CC9"/>
    <w:rsid w:val="00C65DE1"/>
    <w:rsid w:val="00C85C4F"/>
    <w:rsid w:val="00CD1396"/>
    <w:rsid w:val="00CF6177"/>
    <w:rsid w:val="00D5206A"/>
    <w:rsid w:val="00D61580"/>
    <w:rsid w:val="00D6521C"/>
    <w:rsid w:val="00D83F10"/>
    <w:rsid w:val="00DA6E03"/>
    <w:rsid w:val="00DC23F9"/>
    <w:rsid w:val="00DC4EE5"/>
    <w:rsid w:val="00DC6133"/>
    <w:rsid w:val="00E0540D"/>
    <w:rsid w:val="00E066B8"/>
    <w:rsid w:val="00E27514"/>
    <w:rsid w:val="00E3373D"/>
    <w:rsid w:val="00E57E85"/>
    <w:rsid w:val="00EA0ABC"/>
    <w:rsid w:val="00EA3594"/>
    <w:rsid w:val="00EB478F"/>
    <w:rsid w:val="00EB7FA9"/>
    <w:rsid w:val="00EC0573"/>
    <w:rsid w:val="00EF5229"/>
    <w:rsid w:val="00EF70FA"/>
    <w:rsid w:val="00F27E5A"/>
    <w:rsid w:val="00F3527F"/>
    <w:rsid w:val="00F420F3"/>
    <w:rsid w:val="00F455D5"/>
    <w:rsid w:val="00F54883"/>
    <w:rsid w:val="00F95BBE"/>
    <w:rsid w:val="00F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434E"/>
  <w15:chartTrackingRefBased/>
  <w15:docId w15:val="{C9D46AB2-4DCC-417B-8146-E5369CDC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0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3E7"/>
  </w:style>
  <w:style w:type="paragraph" w:styleId="Stopka">
    <w:name w:val="footer"/>
    <w:basedOn w:val="Normalny"/>
    <w:link w:val="StopkaZnak"/>
    <w:uiPriority w:val="99"/>
    <w:unhideWhenUsed/>
    <w:rsid w:val="00EC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573"/>
  </w:style>
  <w:style w:type="paragraph" w:styleId="Akapitzlist">
    <w:name w:val="List Paragraph"/>
    <w:basedOn w:val="Normalny"/>
    <w:uiPriority w:val="34"/>
    <w:qFormat/>
    <w:rsid w:val="00AB4E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B4E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E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E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EA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4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4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48F"/>
    <w:rPr>
      <w:vertAlign w:val="superscript"/>
    </w:rPr>
  </w:style>
  <w:style w:type="paragraph" w:styleId="Poprawka">
    <w:name w:val="Revision"/>
    <w:hidden/>
    <w:uiPriority w:val="99"/>
    <w:semiHidden/>
    <w:rsid w:val="00CD139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A73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-zp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B07C-E2A5-4E78-B66A-070F6743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2309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Skweres Wojciech</dc:creator>
  <cp:keywords/>
  <dc:description/>
  <cp:lastModifiedBy>Skweres Wojciech</cp:lastModifiedBy>
  <cp:revision>2</cp:revision>
  <dcterms:created xsi:type="dcterms:W3CDTF">2022-06-15T09:00:00Z</dcterms:created>
  <dcterms:modified xsi:type="dcterms:W3CDTF">2022-06-15T09:00:00Z</dcterms:modified>
</cp:coreProperties>
</file>