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25" w:rsidRPr="00010425" w:rsidRDefault="00010425" w:rsidP="0001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010425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Zarządzenie Nr ....................</w:t>
      </w:r>
      <w:r w:rsidRPr="00010425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Prezesa Narodowego Funduszu Zdrowia</w:t>
      </w:r>
    </w:p>
    <w:p w:rsidR="00010425" w:rsidRPr="00010425" w:rsidRDefault="00010425" w:rsidP="0001042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z dnia .................... 2022 r.</w:t>
      </w:r>
    </w:p>
    <w:p w:rsidR="00010425" w:rsidRPr="00010425" w:rsidRDefault="00010425" w:rsidP="00010425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010425">
        <w:rPr>
          <w:rFonts w:ascii="Times New Roman" w:eastAsia="Times New Roman" w:hAnsi="Times New Roman" w:cs="Times New Roman"/>
          <w:b/>
          <w:szCs w:val="24"/>
          <w:lang w:eastAsia="pl-PL" w:bidi="pl-PL"/>
        </w:rPr>
        <w:t>zmieniające zarządzenie w sprawie określenia warunków zawierania i realizacji umów o udzielanie świadczeń opieki zdrowotnej w rodzaju opieka psychiatryczna i leczenie uzależnień</w:t>
      </w:r>
    </w:p>
    <w:p w:rsidR="00010425" w:rsidRPr="00010425" w:rsidRDefault="00010425" w:rsidP="00010425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102 ust. 5 pkt 21 i 25 oraz art. 146 ust. 1 ustawy z dnia 27 sierpnia 2004 r. o świadczeniach opieki zdrowotnej finansowanych ze środków publicznych (Dz. U. z 2021 r. poz. 1285, z </w:t>
      </w:r>
      <w:proofErr w:type="spellStart"/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późn</w:t>
      </w:r>
      <w:proofErr w:type="spellEnd"/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. zm.</w:t>
      </w:r>
      <w:r w:rsidRPr="00010425">
        <w:rPr>
          <w:rFonts w:ascii="Times New Roman" w:eastAsia="Times New Roman" w:hAnsi="Times New Roman" w:cs="Times New Roman"/>
          <w:color w:val="000000"/>
          <w:sz w:val="20"/>
          <w:szCs w:val="24"/>
          <w:u w:color="000000"/>
          <w:vertAlign w:val="superscript"/>
          <w:lang w:eastAsia="pl-PL" w:bidi="pl-PL"/>
        </w:rPr>
        <w:footnoteReference w:customMarkFollows="1" w:id="1"/>
        <w:t>1)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) zarządza się, co następuje:</w:t>
      </w:r>
    </w:p>
    <w:p w:rsidR="00010425" w:rsidRPr="00010425" w:rsidRDefault="00010425" w:rsidP="0001042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1.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zarządzeniu Nr 7/2020/DSOZ Prezesa Narodowego Funduszu Zdrowia z dnia  16 stycznia 2020 r. w sprawie określenia warunków zawierania i realizacji umów o udzielanie świadczeń opieki zdrowotnej w rodzaju opieka psychiatryczna i leczenie uzależnień, wprowadza się następujące zmiany:</w:t>
      </w:r>
    </w:p>
    <w:p w:rsidR="00010425" w:rsidRPr="00010425" w:rsidRDefault="00010425" w:rsidP="00010425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§ 2 ust. 1 pkt 13 otrzymuje brzmienie:     </w:t>
      </w:r>
    </w:p>
    <w:p w:rsidR="00010425" w:rsidRPr="00010425" w:rsidRDefault="00010425" w:rsidP="00010425">
      <w:pPr>
        <w:spacing w:before="120" w:after="120" w:line="240" w:lineRule="auto"/>
        <w:ind w:left="793" w:hanging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b/>
          <w:szCs w:val="24"/>
          <w:lang w:eastAsia="pl-PL" w:bidi="pl-PL"/>
        </w:rPr>
        <w:t>„</w:t>
      </w: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13) </w:t>
      </w:r>
      <w:r w:rsidRPr="0001042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rozporządzenie </w:t>
      </w:r>
      <w:proofErr w:type="spellStart"/>
      <w:r w:rsidRPr="0001042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ws</w:t>
      </w:r>
      <w:proofErr w:type="spellEnd"/>
      <w:r w:rsidRPr="00010425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. leczenia substytucyjnego 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– rozporządzenie ministra właściwego do spraw zdrowia w sprawie leczenia substytucyjnego, wydane na podstawie art. 28 ust. 7 ustawy z dnia 29 lipca 2005 r. o przeciwdziałaniu narkomanii (Dz. U. z 2020 r. poz. 2050 oraz z 2021 r. poz. 2469 oraz z 2022 r. poz. 763 i 764);</w:t>
      </w:r>
      <w:r w:rsidRPr="00010425">
        <w:rPr>
          <w:rFonts w:ascii="Times New Roman" w:eastAsia="Times New Roman" w:hAnsi="Times New Roman" w:cs="Times New Roman"/>
          <w:b/>
          <w:szCs w:val="24"/>
          <w:lang w:eastAsia="pl-PL" w:bidi="pl-PL"/>
        </w:rPr>
        <w:t>”</w:t>
      </w: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;</w:t>
      </w:r>
    </w:p>
    <w:p w:rsidR="00010425" w:rsidRPr="00010425" w:rsidRDefault="00010425" w:rsidP="00010425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2)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§ 9 po ust. 1a dodaje się ust. 1b w brzmieniu:     </w:t>
      </w:r>
    </w:p>
    <w:p w:rsidR="00010425" w:rsidRPr="00010425" w:rsidRDefault="00010425" w:rsidP="00010425">
      <w:pPr>
        <w:keepLines/>
        <w:spacing w:before="120" w:after="120" w:line="240" w:lineRule="auto"/>
        <w:ind w:left="45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„1b.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harmonogramie, o którym mowa w ust. 1, do realizacji świadczeń psychologicznych, psychoterapeutycznych, środowiskowych i rehabilitacyjnych, określa się odpowiedni personel o kodach: 229905 Psychoterapeuta, 229906 Specjalista psychoterapii uzależnień, 229907 Specjalista terapii uzależnień, 263403 Psycholog kliniczny, 263401 Psycholog, 325201 Terapeuta środowiskowy oraz 0010 Superwizor.</w:t>
      </w: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”;</w:t>
      </w:r>
    </w:p>
    <w:p w:rsidR="00010425" w:rsidRPr="00010425" w:rsidRDefault="00010425" w:rsidP="00010425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3)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§ 18 ust. 1: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uchyla się pkt 5a,     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uchyla się pkt 5b,     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c)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uchyla się pkt 5c,     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d)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 pkt 5c dodaje się pkt 5d-5e w brzmieniu:     </w:t>
      </w:r>
    </w:p>
    <w:p w:rsidR="00010425" w:rsidRPr="00010425" w:rsidRDefault="00010425" w:rsidP="00010425">
      <w:pPr>
        <w:spacing w:before="120" w:after="12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„5d)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świadczeniodawca, w zakresie świadczenia gwarantowanego: zespół - I poziom referencyjny, nie może rozliczyć w okresie kwartału kalendarzowego więcej niż 564 godziny przeznaczone na pracę bezpośrednio ze świadczeniobiorcą; pozostały czas pracy personelu rozliczany jest w ramach ryczałtu miesięcznego;</w:t>
      </w:r>
    </w:p>
    <w:p w:rsidR="00010425" w:rsidRPr="00010425" w:rsidRDefault="00010425" w:rsidP="00010425">
      <w:pPr>
        <w:spacing w:before="120" w:after="120" w:line="240" w:lineRule="auto"/>
        <w:ind w:left="102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5e)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przypadku gdy w okresie kwartału kalendarzowego świadczeniodawca, w zakresie świadczenia, o którym mowa w pkt 5d, zrealizował w ramach 1,5 etatu personelu, o którym mowa w lp. 1 kolumna 3 pkt 2 </w:t>
      </w:r>
      <w:proofErr w:type="spellStart"/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ppkt</w:t>
      </w:r>
      <w:proofErr w:type="spellEnd"/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 1 i 2 załącznika nr 8 do rozporządzenia, 423 godzin pracy personelu, oraz w ramach pół etatu personelu, o którym mowa w lp. 1 kolumna 3 pkt 2 </w:t>
      </w:r>
      <w:proofErr w:type="spellStart"/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ppkt</w:t>
      </w:r>
      <w:proofErr w:type="spellEnd"/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 3 załącznika nr 8 do rozporządzenia, 141 godzin pracy personelu, i jednocześnie zrealizował świadczenia dodatkowym personelem, tj. w ramach etatów personelu ponad etaty personelu wskazane powyżej, na wniosek świadczeniodawcy składany po upływie kwartału, w którym nastąpiło przekroczenie, w związku z realizacją świadczeń przez personel dodatkowy, odpowiedniemu zwiększeniu ulega liczba jednostek rozliczeniowych oraz kwota zobowiązania z tytułu realizacji umowy;</w:t>
      </w: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”,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>e)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uchyla się pkt 6a,     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f)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uchyla się pkt 6b,     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g)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uchyla się pkt 6c,     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h)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uchyla się pkt 6d,     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i)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 pkt 6d dodaje się pkt 6e-6h w brzmieniu:     </w:t>
      </w:r>
    </w:p>
    <w:p w:rsidR="00010425" w:rsidRPr="00010425" w:rsidRDefault="00010425" w:rsidP="00010425">
      <w:pPr>
        <w:spacing w:before="120" w:after="12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„6e)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świadczeniodawca, w zakresie świadczenia gwarantowanego: ośrodek - I poziom referencyjny, nie może rozliczyć w okresie kwartału kalendarzowego więcej niż 1128 godzin przeznaczonych na pracę bezpośrednio ze świadczeniobiorcą; pozostały czas pracy personelu rozliczany jest w ramach ryczałtu miesięcznego;</w:t>
      </w:r>
    </w:p>
    <w:p w:rsidR="00010425" w:rsidRPr="00010425" w:rsidRDefault="00010425" w:rsidP="00010425">
      <w:pPr>
        <w:spacing w:before="120" w:after="120" w:line="240" w:lineRule="auto"/>
        <w:ind w:left="102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6f)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przypadku gdy w okresie kwartału kalendarzowego świadczeniodawca, w zakresie świadczenia: ośrodek - I poziom referencyjny, zrealizował w ramach 3 etatów personelu, o którym mowa w lp. 2 kolumna 3 pkt 2 </w:t>
      </w:r>
      <w:proofErr w:type="spellStart"/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ppkt</w:t>
      </w:r>
      <w:proofErr w:type="spellEnd"/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 1 i 2 załącznika nr 8 do rozporządzenia, 846 godzin pracy personelu, oraz w ramach jednego etatu personelu, o którym mowa w lp. 2 kolumna 3 pkt 2 </w:t>
      </w:r>
      <w:proofErr w:type="spellStart"/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ppkt</w:t>
      </w:r>
      <w:proofErr w:type="spellEnd"/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 3 załącznika nr 8 do rozporządzenia, 282 godziny pracy personelu, i jednocześnie zrealizował świadczenia dodatkowym personel, tj. w ramach etatów personelu ponad etaty personelu wskazane powyżej, na wniosek świadczeniodawcy składany po upływie kwartału, w którym nastąpiło przekroczenie, w związku z realizacją świadczeń przez personel dodatkowy, odpowiedniemu zwiększeniu ulega liczba jednostek rozliczeniowych oraz kwota zobowiązania z tytułu realizacji umowy;</w:t>
      </w:r>
    </w:p>
    <w:p w:rsidR="00010425" w:rsidRPr="00010425" w:rsidRDefault="00010425" w:rsidP="00010425">
      <w:pPr>
        <w:spacing w:before="120" w:after="120" w:line="240" w:lineRule="auto"/>
        <w:ind w:left="102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6g)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personel, o którym mowa w pkt 5e i 6f, wskazany w załączniku nr 2 do umowy, nie może udzielać świadczeń gwarantowanych świadczeniobiorcom przebywającym w podmiotach innych niż lecznicze, w których ten personel jest zatrudniony;</w:t>
      </w:r>
    </w:p>
    <w:p w:rsidR="00010425" w:rsidRPr="00010425" w:rsidRDefault="00010425" w:rsidP="00010425">
      <w:pPr>
        <w:spacing w:before="120" w:after="120" w:line="240" w:lineRule="auto"/>
        <w:ind w:left="102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6h)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przypadku wskazania w harmonogramie personelu zatrudnionego w podmiotach innych niż lecznicze, o czym mowa w pkt 6g, świadczeniodawca obowiązany jest zapewnić równy dostęp do świadczeń gwarantowanych świadczeniobiorcom, o których mowa w pkt 6g;</w:t>
      </w: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”,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j)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pkt 44 otrzymuje brzmienie:     </w:t>
      </w:r>
    </w:p>
    <w:p w:rsidR="00010425" w:rsidRPr="00010425" w:rsidRDefault="00010425" w:rsidP="00010425">
      <w:pPr>
        <w:spacing w:before="120" w:after="12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„44)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sytuacji realizacji świadczenia gwarantowanego udzielanego przez dwie osoby, w zakresie sesji psychoterapii rodzinnej, sesji psychoterapii grupowej oraz wizyty, porady domowej lub środowiskowej, o których mowa w załączniku nr 8 do rozporządzenia, świadczeniodawca obowiązany jest sprawozdać każdą osobę personelu realizującą to świadczenie, odpowiednimi odrębnymi produktami rozliczeniowymi, o których mowa w załączniku nr 1a do zarządzenia. W dokumentacji medycznej indywidualnej świadczeniobiorcy odnotowuje się obie osoby z personelu realizującego świadczenie, wraz z godziną z minutami rozpoczęcia i zakończenia świadczenia;</w:t>
      </w: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”,</w:t>
      </w:r>
    </w:p>
    <w:p w:rsidR="00010425" w:rsidRPr="00010425" w:rsidRDefault="00010425" w:rsidP="00010425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k)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 pkt 45 dodaje się pkt 46 w brzmieniu:     </w:t>
      </w:r>
    </w:p>
    <w:p w:rsidR="00010425" w:rsidRPr="00010425" w:rsidRDefault="00010425" w:rsidP="00010425">
      <w:pPr>
        <w:spacing w:before="120" w:after="12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„46)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sytuacji realizacji świadczeń gwarantowanych, o których mowa w załączniku nr 1, 2, 4 i 5 oraz lp. 5 załącznika nr 8 do rozporządzenia, rozliczanych za pomocą osobodnia, świadczeniodawca jest obowiązany sprawozdawać świadczenia wchodzące w cykl leczenia świadczeniobiorcy, wynikające ze standardu leczenia, wspólnym ID cyklu;</w:t>
      </w:r>
    </w:p>
    <w:p w:rsidR="00010425" w:rsidRPr="00010425" w:rsidRDefault="00010425" w:rsidP="00010425">
      <w:pPr>
        <w:spacing w:before="120" w:after="120" w:line="240" w:lineRule="auto"/>
        <w:ind w:left="102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47)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przypadku realizacji świadczeń gwarantowanych udzielanych w warunkach stacjonarnych, o których mowa w załączniku nr 1 i 2 do rozporządzenia, świadczeniobiorcy będącego w stanie nagłym w związku z próbą samobójczą, do Funduszu należy sprawozdać w ramach Międzynarodowej Statystycznej Klasyfikacji Chorób i Problemów Zdrowotnych ICD-10, jako rozpoznanie współistniejące, rozpoznanie określające próbę samobójczą, tj. rozpoznanie z zakresu X60-84 wraz z rozszerzeniami;</w:t>
      </w:r>
    </w:p>
    <w:p w:rsidR="00010425" w:rsidRPr="00010425" w:rsidRDefault="00010425" w:rsidP="00010425">
      <w:pPr>
        <w:spacing w:before="120" w:after="120" w:line="240" w:lineRule="auto"/>
        <w:ind w:left="102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48)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w przypadku leczenia świadczeniobiorcy na podstawie orzeczenia sądu karnego, do Funduszu należy sprawozdać w ramach ICD-10, jako rozpoznanie współistniejące, rozpoznanie Y05.0 - przestępstwo seksualne z użyciem przemocy fizycznej - w przypadku 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lastRenderedPageBreak/>
        <w:t>popełnienia przestępstwa seksualnego, Y08.0 - przestępstwo w inny określony sposób albo Y09.0 - przestępstwo w nieokreślony sposób.</w:t>
      </w: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”;</w:t>
      </w:r>
    </w:p>
    <w:p w:rsidR="00010425" w:rsidRPr="00010425" w:rsidRDefault="00010425" w:rsidP="00010425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4)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1 do zarządzenia otrzymuje brzmienie określone w załączniku nr 1 do niniejszego zarządzenia;     </w:t>
      </w:r>
    </w:p>
    <w:p w:rsidR="00010425" w:rsidRPr="00010425" w:rsidRDefault="00010425" w:rsidP="00010425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szCs w:val="24"/>
          <w:lang w:eastAsia="pl-PL" w:bidi="pl-PL"/>
        </w:rPr>
        <w:t>5)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1a do zarządzenia otrzymuje brzmienie określone w załączniku nr 2 do niniejszego zarządzenia;     </w:t>
      </w:r>
    </w:p>
    <w:p w:rsidR="00010425" w:rsidRPr="00010425" w:rsidRDefault="00010425" w:rsidP="0001042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010425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2. </w:t>
      </w:r>
      <w:r w:rsidRPr="00010425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Zarządzenie wchodzi w życie z dniem 1 lipca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10425" w:rsidRPr="00010425" w:rsidTr="00996AC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10425" w:rsidRPr="00010425" w:rsidRDefault="00010425" w:rsidP="0001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10425" w:rsidRPr="00010425" w:rsidRDefault="00010425" w:rsidP="0001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  <w:p w:rsidR="00010425" w:rsidRPr="00010425" w:rsidRDefault="00010425" w:rsidP="0001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010425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PREZES </w:t>
            </w:r>
          </w:p>
          <w:p w:rsidR="00010425" w:rsidRPr="00010425" w:rsidRDefault="00010425" w:rsidP="0001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010425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NARODOWEGO FUNDUSZU ZDROWIA</w:t>
            </w:r>
          </w:p>
        </w:tc>
      </w:tr>
    </w:tbl>
    <w:p w:rsidR="001409B8" w:rsidRDefault="00073D1B">
      <w:bookmarkStart w:id="0" w:name="_GoBack"/>
      <w:bookmarkEnd w:id="0"/>
    </w:p>
    <w:sectPr w:rsidR="0014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1B" w:rsidRDefault="00073D1B" w:rsidP="00010425">
      <w:pPr>
        <w:spacing w:after="0" w:line="240" w:lineRule="auto"/>
      </w:pPr>
      <w:r>
        <w:separator/>
      </w:r>
    </w:p>
  </w:endnote>
  <w:endnote w:type="continuationSeparator" w:id="0">
    <w:p w:rsidR="00073D1B" w:rsidRDefault="00073D1B" w:rsidP="0001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1B" w:rsidRDefault="00073D1B" w:rsidP="00010425">
      <w:pPr>
        <w:spacing w:after="0" w:line="240" w:lineRule="auto"/>
      </w:pPr>
      <w:r>
        <w:separator/>
      </w:r>
    </w:p>
  </w:footnote>
  <w:footnote w:type="continuationSeparator" w:id="0">
    <w:p w:rsidR="00073D1B" w:rsidRDefault="00073D1B" w:rsidP="00010425">
      <w:pPr>
        <w:spacing w:after="0" w:line="240" w:lineRule="auto"/>
      </w:pPr>
      <w:r>
        <w:continuationSeparator/>
      </w:r>
    </w:p>
  </w:footnote>
  <w:footnote w:id="1">
    <w:p w:rsidR="00010425" w:rsidRDefault="00010425" w:rsidP="00010425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Dz.U. z 2021 r. poz. 1292, 1559, 1773, 1834, 1981, 2120, 2232 i 2270 oraz z 2022 r. poz. 64, 91, 526, 583, 655 i 807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25"/>
    <w:rsid w:val="00010425"/>
    <w:rsid w:val="00073D1B"/>
    <w:rsid w:val="000B792C"/>
    <w:rsid w:val="00AA77EF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C742-F31F-4B6B-BFF6-2FC5A918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0104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04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425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Kilan Elżbieta</dc:creator>
  <cp:keywords/>
  <dc:description/>
  <cp:lastModifiedBy>Kilan Elżbieta</cp:lastModifiedBy>
  <cp:revision>1</cp:revision>
  <dcterms:created xsi:type="dcterms:W3CDTF">2022-06-07T08:11:00Z</dcterms:created>
  <dcterms:modified xsi:type="dcterms:W3CDTF">2022-06-07T08:11:00Z</dcterms:modified>
</cp:coreProperties>
</file>