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BB31" w14:textId="77777777" w:rsidR="00325240" w:rsidRDefault="00325240" w:rsidP="00325240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A5777AF" w14:textId="6C1C61D0" w:rsidR="00325240" w:rsidRPr="00325240" w:rsidRDefault="00325240" w:rsidP="001D0176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3 </w:t>
      </w:r>
    </w:p>
    <w:p w14:paraId="08977096" w14:textId="77777777" w:rsidR="00325240" w:rsidRPr="00325240" w:rsidRDefault="00325240" w:rsidP="00325240">
      <w:pPr>
        <w:widowControl w:val="0"/>
        <w:suppressAutoHyphens/>
        <w:spacing w:before="107"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</w:pPr>
      <w:r w:rsidRPr="00325240"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  <w:t xml:space="preserve">WZÓR </w:t>
      </w:r>
    </w:p>
    <w:p w14:paraId="34C6CF48" w14:textId="77777777" w:rsidR="00325240" w:rsidRPr="00325240" w:rsidRDefault="00325240" w:rsidP="00325240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</w:p>
    <w:p w14:paraId="4A0ADE1D" w14:textId="77777777" w:rsidR="00325240" w:rsidRPr="00325240" w:rsidRDefault="00325240" w:rsidP="00325240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RAPORT Z PRZEPROWADZONEGO AUDYTU KLINICZNEGO WEWNĘTRZNEGO</w:t>
      </w:r>
    </w:p>
    <w:p w14:paraId="1DF7DA06" w14:textId="77777777" w:rsidR="00325240" w:rsidRPr="00325240" w:rsidRDefault="00325240" w:rsidP="00325240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W ZAKRESIE MEDYCYNY NUKLEARNEJ</w:t>
      </w:r>
    </w:p>
    <w:p w14:paraId="4873E9B4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1. DANE OGÓLNE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325240" w:rsidRPr="00325240" w14:paraId="62BC950F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969D8" w14:textId="77777777" w:rsidR="00325240" w:rsidRPr="00325240" w:rsidRDefault="00325240" w:rsidP="00325240">
            <w:pPr>
              <w:widowControl w:val="0"/>
              <w:numPr>
                <w:ilvl w:val="1"/>
                <w:numId w:val="1"/>
              </w:numPr>
              <w:suppressAutoHyphens/>
              <w:spacing w:after="0" w:line="360" w:lineRule="auto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INFORMACJE O JEDNOSTCE OCHRONY ZDROWIA:</w:t>
            </w:r>
          </w:p>
          <w:p w14:paraId="2CBE59F0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1.1.a. Nazwa jednostki: 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D8D1731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1.1.b. Kod pocztowy: 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48BF85D2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1.1.c. Miejscowość: 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767DAD04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1.1.d. Adres: 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4E636997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1.1.e. Województwo: 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56D69880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1.1.f. Numer księgi rejestrowej z Rejestru Podmiotów Wykonujących Działalność Leczniczą: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01A54DC1" w14:textId="77777777" w:rsidR="00325240" w:rsidRPr="00325240" w:rsidRDefault="00325240" w:rsidP="00325240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DA4A421" w14:textId="77777777" w:rsidR="00325240" w:rsidRPr="00325240" w:rsidRDefault="00325240" w:rsidP="00325240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DATA PRZEPROWADZENIA AUDYTU</w:t>
            </w:r>
            <w:r w:rsidRPr="00325240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:  </w:t>
            </w:r>
            <w:r w:rsidRPr="00325240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OD</w:t>
            </w:r>
            <w:r w:rsidRPr="00325240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……………………………… </w:t>
            </w:r>
            <w:r w:rsidRPr="00325240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DO</w:t>
            </w:r>
            <w:r w:rsidRPr="00325240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.…………………………</w:t>
            </w:r>
          </w:p>
          <w:p w14:paraId="7039569C" w14:textId="66A19585" w:rsidR="00325240" w:rsidRPr="00325240" w:rsidRDefault="00325240" w:rsidP="00325240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OKRES, KTÓREGO AUDYT DOTYCZY</w:t>
            </w: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vertAlign w:val="superscript"/>
                <w:lang w:eastAsia="hi-IN" w:bidi="hi-IN"/>
              </w:rPr>
              <w:footnoteReference w:customMarkFollows="1" w:id="1"/>
              <w:t>1)</w:t>
            </w: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: OD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….…………………………….…………………….. </w:t>
            </w:r>
            <w:r w:rsidRPr="00325240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DO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………………….…………………………….</w:t>
            </w:r>
          </w:p>
        </w:tc>
      </w:tr>
    </w:tbl>
    <w:p w14:paraId="77AF39FC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0ADA56E3" w14:textId="77777777" w:rsidR="00AB1681" w:rsidRPr="00AB1681" w:rsidRDefault="00325240" w:rsidP="00AB1681">
      <w:pPr>
        <w:spacing w:after="43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2. </w:t>
      </w:r>
      <w:r w:rsidR="00AB1681" w:rsidRPr="00AB1681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RODZAJ I LICZBA PROCEDUR SZCZEGÓŁOWYCH WYKONYWANYCH W JEDNOSTCE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4"/>
        <w:gridCol w:w="7286"/>
        <w:gridCol w:w="7286"/>
      </w:tblGrid>
      <w:tr w:rsidR="00AB1681" w:rsidRPr="00AB1681" w14:paraId="0DEE1CE0" w14:textId="77777777" w:rsidTr="00421B6C">
        <w:tc>
          <w:tcPr>
            <w:tcW w:w="7284" w:type="dxa"/>
            <w:shd w:val="clear" w:color="auto" w:fill="auto"/>
          </w:tcPr>
          <w:p w14:paraId="7543FC15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val="en-US"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5D70255" wp14:editId="54817030">
                      <wp:extent cx="107950" cy="107950"/>
                      <wp:effectExtent l="11430" t="10160" r="13970" b="5715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814CA" id="Prostokąt 28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val="en-US" w:eastAsia="hi-IN" w:bidi="hi-IN"/>
              </w:rPr>
              <w:t xml:space="preserve"> SPECT/SPECT-CT 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9D535" wp14:editId="6834F7B7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A4182" id="Prostokąt 52" o:spid="_x0000_s1026" style="position:absolute;margin-left:141.75pt;margin-top:-.3pt;width:41.1pt;height:9.9pt;flip:y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IbXVoD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4C2AA59E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val="en-US"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31020CA" wp14:editId="2CC6C225">
                      <wp:extent cx="107950" cy="107950"/>
                      <wp:effectExtent l="11430" t="8255" r="13970" b="762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554B2" id="Prostokąt 27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4"/>
                <w:lang w:val="en-US" w:eastAsia="hi-IN" w:bidi="hi-IN"/>
              </w:rPr>
              <w:t xml:space="preserve"> </w: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val="en-US" w:eastAsia="hi-IN" w:bidi="hi-IN"/>
              </w:rPr>
              <w:t xml:space="preserve">PET/PET-CT/PET-MRI 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2DA55" wp14:editId="4E4EE75D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-1270</wp:posOffset>
                      </wp:positionV>
                      <wp:extent cx="521970" cy="125730"/>
                      <wp:effectExtent l="0" t="0" r="11430" b="2667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85C66" id="Prostokąt 53" o:spid="_x0000_s1026" style="position:absolute;margin-left:159pt;margin-top:-.1pt;width:41.1pt;height:9.9pt;flip:y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5sZeyd8AAAAI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1B207F22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40EB79F" wp14:editId="03A72AA1">
                      <wp:extent cx="107950" cy="107950"/>
                      <wp:effectExtent l="11430" t="6350" r="13970" b="9525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AFD19" id="Prostokąt 26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 Inne metody badań scyntygraficznych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B0A20" wp14:editId="0B604AD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1270</wp:posOffset>
                      </wp:positionV>
                      <wp:extent cx="521970" cy="125730"/>
                      <wp:effectExtent l="0" t="0" r="11430" b="2667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0FD9D" id="Prostokąt 54" o:spid="_x0000_s1026" style="position:absolute;margin-left:228pt;margin-top:.1pt;width:41.1pt;height:9.9pt;flip:y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7286" w:type="dxa"/>
          </w:tcPr>
          <w:p w14:paraId="48BA01EF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823CC16" wp14:editId="60592163">
                      <wp:extent cx="107950" cy="107950"/>
                      <wp:effectExtent l="7620" t="10160" r="8255" b="5715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33AE0" id="Prostokąt 25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Terapia łagodnych schorzeń tarczycy jodem-131 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2B20C" wp14:editId="23556375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EF94F" id="Prostokąt 55" o:spid="_x0000_s1026" style="position:absolute;margin-left:268.05pt;margin-top:-.3pt;width:41.1pt;height:9.9pt;flip:y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BrUyRb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22E90BB6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1DD544F7" wp14:editId="19C379D2">
                      <wp:extent cx="107950" cy="107950"/>
                      <wp:effectExtent l="7620" t="8255" r="8255" b="762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D7C8B" id="Prostokąt 24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Terapia zmian nowotworowych jodem-131 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528B4" wp14:editId="5B97832A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-1270</wp:posOffset>
                      </wp:positionV>
                      <wp:extent cx="521970" cy="125730"/>
                      <wp:effectExtent l="0" t="0" r="11430" b="2667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26C78" id="Prostokąt 56" o:spid="_x0000_s1026" style="position:absolute;margin-left:248.55pt;margin-top:-.1pt;width:41.1pt;height:9.9pt;flip:y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Hwt3sb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61730F72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E8FD32C" wp14:editId="4EA534EC">
                      <wp:extent cx="107950" cy="107950"/>
                      <wp:effectExtent l="7620" t="6350" r="8255" b="9525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F0C14" id="Prostokąt 23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Terapia – inne </w:t>
            </w:r>
            <w:proofErr w:type="spellStart"/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radiofarmaceutyki</w:t>
            </w:r>
            <w:proofErr w:type="spellEnd"/>
            <w:r w:rsidRPr="00AB1681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AB1681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C17D4" wp14:editId="265AEE8B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1270</wp:posOffset>
                      </wp:positionV>
                      <wp:extent cx="521970" cy="125730"/>
                      <wp:effectExtent l="0" t="0" r="11430" b="2667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16E2C" id="Prostokąt 57" o:spid="_x0000_s1026" style="position:absolute;margin-left:208.05pt;margin-top:.1pt;width:41.1pt;height:9.9pt;flip:y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7286" w:type="dxa"/>
            <w:shd w:val="clear" w:color="auto" w:fill="auto"/>
          </w:tcPr>
          <w:p w14:paraId="16246973" w14:textId="77777777" w:rsidR="00AB1681" w:rsidRPr="00AB1681" w:rsidRDefault="00AB1681" w:rsidP="00AB1681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DB2D8C2" w14:textId="02D6646B" w:rsidR="00325240" w:rsidRPr="00325240" w:rsidRDefault="00325240" w:rsidP="00AB1681">
      <w:pPr>
        <w:widowControl w:val="0"/>
        <w:suppressAutoHyphens/>
        <w:spacing w:after="43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13271BB" w14:textId="77777777" w:rsidR="00325240" w:rsidRPr="00325240" w:rsidRDefault="00325240" w:rsidP="00325240">
      <w:pPr>
        <w:widowControl w:val="0"/>
        <w:suppressLineNumbers/>
        <w:suppressAutoHyphens/>
        <w:spacing w:after="0" w:line="276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7741D1F2" w14:textId="77777777" w:rsidR="00325240" w:rsidRPr="00325240" w:rsidRDefault="00325240" w:rsidP="00325240">
      <w:pPr>
        <w:widowControl w:val="0"/>
        <w:suppressLineNumbers/>
        <w:suppressAutoHyphens/>
        <w:spacing w:after="0" w:line="276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32027E7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>3. ZAKRES PRZEDMIOTOWY AUDYTU, W TYM RODZAJ PROCEDUR SZCZEGÓŁOWYCH PODLEGAJĄCYCH SPRAWDZENIU W RAMACH AUDYTU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325240" w:rsidRPr="00325240" w14:paraId="24DDBF9F" w14:textId="77777777" w:rsidTr="00997877">
        <w:trPr>
          <w:trHeight w:val="38"/>
        </w:trPr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78D7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7DEB62E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4A3D186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6A0D03F0" w14:textId="77777777" w:rsidR="00325240" w:rsidRPr="00325240" w:rsidRDefault="00325240" w:rsidP="00325240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105CEB7A" w14:textId="77777777" w:rsidR="00325240" w:rsidRPr="00325240" w:rsidRDefault="00325240" w:rsidP="00325240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4. PRZEGLĄD PROCEDUR SZCZEGÓŁOWYCH PODLEGAJĄCYCH SPRAWDZENIU W RAMACH AUDYTU</w:t>
      </w:r>
    </w:p>
    <w:p w14:paraId="57C26044" w14:textId="0D4CECF4" w:rsidR="00325240" w:rsidRPr="00325240" w:rsidRDefault="00325240" w:rsidP="00325240">
      <w:pPr>
        <w:widowControl w:val="0"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>4.1. Analiza procedur szczegółowych oraz praktyki ich stosowania</w:t>
      </w:r>
      <w:r w:rsidR="000876F5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z uwzględnieniem zakresu audytu klinicznego wewnętrznego określonego w §</w:t>
      </w:r>
      <w:r w:rsidR="009A2BF5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</w:t>
      </w:r>
      <w:r w:rsidR="000876F5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3 ust. 5</w:t>
      </w:r>
      <w:r w:rsidR="009A2BF5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rozporządzenia.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325240" w:rsidRPr="00325240" w14:paraId="3BE5ED2F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3EC5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66BEA51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3ACF4063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47979D74" w14:textId="77777777" w:rsidR="00325240" w:rsidRDefault="00325240" w:rsidP="00325240">
      <w:pPr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  <w:tab/>
      </w:r>
    </w:p>
    <w:p w14:paraId="7EC8E808" w14:textId="3908ACAF" w:rsidR="00325240" w:rsidRPr="00325240" w:rsidRDefault="00325240" w:rsidP="003252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4.2. Liczba wykonanych procedur szczegółowych podlegających audytowi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09"/>
        <w:gridCol w:w="1588"/>
        <w:gridCol w:w="1588"/>
        <w:gridCol w:w="1588"/>
        <w:gridCol w:w="1588"/>
      </w:tblGrid>
      <w:tr w:rsidR="00325240" w:rsidRPr="00325240" w14:paraId="372DA6A4" w14:textId="77777777" w:rsidTr="00997877">
        <w:tc>
          <w:tcPr>
            <w:tcW w:w="8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7171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3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EE3A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Pacjenci dorośli</w:t>
            </w:r>
          </w:p>
          <w:p w14:paraId="535145C7" w14:textId="554B1E66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(powyżej 16</w:t>
            </w:r>
            <w:r w:rsidR="006A1CA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życia)</w:t>
            </w:r>
          </w:p>
        </w:tc>
        <w:tc>
          <w:tcPr>
            <w:tcW w:w="3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ECCA4" w14:textId="3DDA1269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Pacjenci do 16</w:t>
            </w:r>
            <w:r w:rsidR="006A1CA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</w:t>
            </w:r>
          </w:p>
        </w:tc>
      </w:tr>
      <w:tr w:rsidR="00325240" w:rsidRPr="00325240" w14:paraId="018662D8" w14:textId="77777777" w:rsidTr="00997877">
        <w:tc>
          <w:tcPr>
            <w:tcW w:w="8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EAD2E" w14:textId="77777777" w:rsidR="00325240" w:rsidRPr="00325240" w:rsidRDefault="00325240" w:rsidP="0032524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6A21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Kobiety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61BA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FF62B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Kobiety 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85F2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</w:tr>
      <w:tr w:rsidR="00325240" w:rsidRPr="00325240" w14:paraId="2A9467A9" w14:textId="77777777" w:rsidTr="00997877">
        <w:trPr>
          <w:trHeight w:val="425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8AA85A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693ACC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168A2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7D9B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0929C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7E06EA6A" w14:textId="77777777" w:rsidTr="00997877">
        <w:trPr>
          <w:trHeight w:val="45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598EA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2180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06DFA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7FAE4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D0EC53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53C473F2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BE28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E8FB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B3EAF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90A10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7F7BF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464A3F78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0FF5B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103DF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E7C98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EB35A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635F41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3742ECC8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1A601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A2BD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F8DE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47BE4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1958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0C58246D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2951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...)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E646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F97F8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5CDEC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E9C5D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C7A1030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61CBC9D1" w14:textId="77777777" w:rsidR="00325240" w:rsidRPr="00325240" w:rsidRDefault="00325240" w:rsidP="00325240">
      <w:pPr>
        <w:pageBreakBefore/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ab/>
        <w:t>4.3. Dane pozwalające określić wielkość narażenia pacjentów w procedurach szczegółowych podlegających audytowi</w:t>
      </w:r>
    </w:p>
    <w:tbl>
      <w:tblPr>
        <w:tblW w:w="145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6"/>
        <w:gridCol w:w="3260"/>
        <w:gridCol w:w="3119"/>
      </w:tblGrid>
      <w:tr w:rsidR="00325240" w:rsidRPr="00325240" w14:paraId="28F7DFB0" w14:textId="77777777" w:rsidTr="00997877">
        <w:trPr>
          <w:trHeight w:val="1342"/>
        </w:trPr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A429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A9C21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Typowa aktywność podawana pacjentowi w przeliczeniu na 1 kg masy ciała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87FCBF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Rodzaj </w:t>
            </w:r>
            <w:proofErr w:type="spellStart"/>
            <w:r w:rsidRPr="00325240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radiofarmaceutyku</w:t>
            </w:r>
            <w:proofErr w:type="spellEnd"/>
          </w:p>
        </w:tc>
      </w:tr>
      <w:tr w:rsidR="00325240" w:rsidRPr="00325240" w14:paraId="18656D2F" w14:textId="77777777" w:rsidTr="00997877">
        <w:trPr>
          <w:trHeight w:val="470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D348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53E31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FB02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2663E599" w14:textId="77777777" w:rsidTr="00997877">
        <w:trPr>
          <w:trHeight w:val="435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73BA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65D4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4EA7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15A3DA10" w14:textId="77777777" w:rsidTr="00997877">
        <w:trPr>
          <w:trHeight w:val="435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BD68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2D35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435F1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1C63800C" w14:textId="77777777" w:rsidTr="00997877">
        <w:trPr>
          <w:trHeight w:val="459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15B8C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1EB7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C40E4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0040C4CB" w14:textId="77777777" w:rsidTr="00997877">
        <w:trPr>
          <w:trHeight w:val="435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41B2F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3B73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9863F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12A8A811" w14:textId="77777777" w:rsidTr="00997877">
        <w:trPr>
          <w:trHeight w:val="450"/>
        </w:trPr>
        <w:tc>
          <w:tcPr>
            <w:tcW w:w="8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A581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5AFA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8EAE9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444939" w14:textId="77777777" w:rsidR="00325240" w:rsidRPr="00325240" w:rsidRDefault="00325240" w:rsidP="00325240">
      <w:pPr>
        <w:widowControl w:val="0"/>
        <w:suppressAutoHyphens/>
        <w:spacing w:after="120" w:line="24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</w:p>
    <w:p w14:paraId="35BA00A0" w14:textId="77777777" w:rsidR="00325240" w:rsidRPr="00325240" w:rsidRDefault="00325240" w:rsidP="00325240">
      <w:pPr>
        <w:widowControl w:val="0"/>
        <w:suppressAutoHyphens/>
        <w:spacing w:after="0" w:line="24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BB6C9C6" w14:textId="77777777" w:rsidR="00325240" w:rsidRPr="00325240" w:rsidRDefault="00325240" w:rsidP="00325240">
      <w:pPr>
        <w:widowControl w:val="0"/>
        <w:suppressAutoHyphens/>
        <w:spacing w:after="113" w:line="24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>4.4. Porównanie wielkości narażenia pacjentów w procedurach szczegółowych podlegających audytowi z diagnostycznymi poziomami referencyjnymi (w przypadku gdy takie poziomy zostały określone)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325240" w:rsidRPr="00325240" w14:paraId="0CD0320A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78DFD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15BF13A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5E62BBEC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A1C734A" w14:textId="77777777" w:rsidR="00325240" w:rsidRPr="00325240" w:rsidRDefault="00325240" w:rsidP="00325240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207FA691" w14:textId="77777777" w:rsidR="00325240" w:rsidRPr="00325240" w:rsidRDefault="00325240" w:rsidP="00325240">
      <w:pPr>
        <w:pageBreakBefore/>
        <w:widowControl w:val="0"/>
        <w:suppressLineNumbers/>
        <w:suppressAutoHyphens/>
        <w:spacing w:after="113" w:line="100" w:lineRule="atLeast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>5. OPIS USTALEŃ DOKONANYCH PODCZAS AUDYTU KLINICZNEGO, W TYM TAKŻE EWENTUALNE ZALECENIA DOTYCZĄCE ZMIANY PROCEDUR SZCZEGÓŁOWYCH LUB WPROWADZENIA NOWYCH PROCEDUR SZCZEGÓŁOWYCH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325240" w:rsidRPr="00325240" w14:paraId="4944143C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5C37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2FC9A92B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666B9BC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3C90DB3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631F65F1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4696A731" w14:textId="77777777" w:rsidR="00325240" w:rsidRPr="00325240" w:rsidRDefault="00325240" w:rsidP="00325240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325240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6. OSOBY PRZEPROWADZAJĄCE AUDYT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8"/>
        <w:gridCol w:w="7146"/>
      </w:tblGrid>
      <w:tr w:rsidR="00325240" w:rsidRPr="00325240" w14:paraId="3053A24F" w14:textId="77777777" w:rsidTr="00997877">
        <w:trPr>
          <w:trHeight w:val="705"/>
        </w:trPr>
        <w:tc>
          <w:tcPr>
            <w:tcW w:w="7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8D812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7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A5F924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Podpis osoby przeprowadzającej audyt</w:t>
            </w:r>
          </w:p>
        </w:tc>
      </w:tr>
      <w:tr w:rsidR="00325240" w:rsidRPr="00325240" w14:paraId="7402B789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68E70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31B15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273925E6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80AD7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D4AE8E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5240" w:rsidRPr="00325240" w14:paraId="0D6502B4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FB7C1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E940BB" w14:textId="77777777" w:rsidR="00325240" w:rsidRPr="00325240" w:rsidRDefault="00325240" w:rsidP="0032524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72572C7" w14:textId="77777777" w:rsidR="00325240" w:rsidRPr="00325240" w:rsidRDefault="00325240" w:rsidP="00325240">
      <w:pPr>
        <w:widowControl w:val="0"/>
        <w:suppressAutoHyphens/>
        <w:spacing w:after="0" w:line="24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</w:p>
    <w:p w14:paraId="72B12FC1" w14:textId="77777777" w:rsidR="00325240" w:rsidRPr="00325240" w:rsidRDefault="00325240" w:rsidP="00325240">
      <w:pPr>
        <w:widowControl w:val="0"/>
        <w:tabs>
          <w:tab w:val="left" w:leader="dot" w:pos="8647"/>
        </w:tabs>
        <w:suppressAutoHyphens/>
        <w:spacing w:after="0" w:line="240" w:lineRule="auto"/>
        <w:ind w:right="946"/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p w14:paraId="58249454" w14:textId="77777777" w:rsidR="00524826" w:rsidRDefault="00524826"/>
    <w:sectPr w:rsidR="00524826" w:rsidSect="003252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130D" w14:textId="77777777" w:rsidR="005B4B08" w:rsidRDefault="005B4B08" w:rsidP="00325240">
      <w:pPr>
        <w:spacing w:after="0" w:line="240" w:lineRule="auto"/>
      </w:pPr>
      <w:r>
        <w:separator/>
      </w:r>
    </w:p>
  </w:endnote>
  <w:endnote w:type="continuationSeparator" w:id="0">
    <w:p w14:paraId="05E8B5C4" w14:textId="77777777" w:rsidR="005B4B08" w:rsidRDefault="005B4B08" w:rsidP="0032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7881" w14:textId="77777777" w:rsidR="005B4B08" w:rsidRDefault="005B4B08" w:rsidP="00325240">
      <w:pPr>
        <w:spacing w:after="0" w:line="240" w:lineRule="auto"/>
      </w:pPr>
      <w:r>
        <w:separator/>
      </w:r>
    </w:p>
  </w:footnote>
  <w:footnote w:type="continuationSeparator" w:id="0">
    <w:p w14:paraId="12EF56AA" w14:textId="77777777" w:rsidR="005B4B08" w:rsidRDefault="005B4B08" w:rsidP="00325240">
      <w:pPr>
        <w:spacing w:after="0" w:line="240" w:lineRule="auto"/>
      </w:pPr>
      <w:r>
        <w:continuationSeparator/>
      </w:r>
    </w:p>
  </w:footnote>
  <w:footnote w:id="1">
    <w:p w14:paraId="49655938" w14:textId="54DB3FA4" w:rsidR="00325240" w:rsidRDefault="00325240" w:rsidP="00325240">
      <w:pPr>
        <w:pStyle w:val="Tekstprzypisudolnego"/>
      </w:pPr>
      <w:r>
        <w:rPr>
          <w:rStyle w:val="Odwoanieprzypisudolnego"/>
        </w:rPr>
        <w:t>1)</w:t>
      </w:r>
      <w:r>
        <w:t xml:space="preserve"> Zgodnie z  art. 33v ust 1. ustawy - Prawo </w:t>
      </w:r>
      <w:r w:rsidRPr="00BC2556">
        <w:t xml:space="preserve">atomowe (Dz. U. </w:t>
      </w:r>
      <w:r w:rsidRPr="008F0DB8">
        <w:t xml:space="preserve">z 2021 r. poz. </w:t>
      </w:r>
      <w:r w:rsidR="006A1CA0">
        <w:t>1941</w:t>
      </w:r>
      <w:r w:rsidRPr="008F0DB8">
        <w:t>)</w:t>
      </w:r>
      <w:r w:rsidRPr="00BC2556">
        <w:t xml:space="preserve"> audyt</w:t>
      </w:r>
      <w:r>
        <w:t xml:space="preserve"> kliniczny wewnętrzny jest przeprowadzany nie rzadziej niż </w:t>
      </w:r>
      <w:r w:rsidR="00A84CCB">
        <w:t xml:space="preserve">raz w roku </w:t>
      </w:r>
      <w:r>
        <w:t>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09E"/>
    <w:multiLevelType w:val="multilevel"/>
    <w:tmpl w:val="F02667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Lucida Sans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89176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0"/>
    <w:rsid w:val="000876F5"/>
    <w:rsid w:val="00181B67"/>
    <w:rsid w:val="001C494B"/>
    <w:rsid w:val="001D0176"/>
    <w:rsid w:val="001E079C"/>
    <w:rsid w:val="00211B27"/>
    <w:rsid w:val="00325240"/>
    <w:rsid w:val="00337A9C"/>
    <w:rsid w:val="0047019C"/>
    <w:rsid w:val="00524826"/>
    <w:rsid w:val="005B4B08"/>
    <w:rsid w:val="006A1CA0"/>
    <w:rsid w:val="007C189D"/>
    <w:rsid w:val="008213CD"/>
    <w:rsid w:val="0084162D"/>
    <w:rsid w:val="009A2BF5"/>
    <w:rsid w:val="00A84CCB"/>
    <w:rsid w:val="00AB1681"/>
    <w:rsid w:val="00B2054D"/>
    <w:rsid w:val="00B85A40"/>
    <w:rsid w:val="00E0279F"/>
    <w:rsid w:val="00E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866"/>
  <w15:chartTrackingRefBased/>
  <w15:docId w15:val="{02E7F2B5-4F0B-412F-8968-5CDF977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2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24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52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cp:lastPrinted>2022-04-25T10:46:00Z</cp:lastPrinted>
  <dcterms:created xsi:type="dcterms:W3CDTF">2022-05-27T07:16:00Z</dcterms:created>
  <dcterms:modified xsi:type="dcterms:W3CDTF">2022-05-27T07:16:00Z</dcterms:modified>
</cp:coreProperties>
</file>