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999D" w14:textId="77777777" w:rsidR="00055E6A" w:rsidRPr="00055E6A" w:rsidRDefault="00055E6A" w:rsidP="00055E6A">
      <w:pPr>
        <w:widowControl w:val="0"/>
        <w:tabs>
          <w:tab w:val="left" w:leader="dot" w:pos="8647"/>
        </w:tabs>
        <w:suppressAutoHyphens/>
        <w:spacing w:after="0" w:line="360" w:lineRule="auto"/>
        <w:ind w:right="946"/>
        <w:rPr>
          <w:rFonts w:ascii="Times New Roman" w:eastAsia="Times New Roman" w:hAnsi="Times New Roman" w:cs="Times New Roman"/>
          <w:bCs/>
          <w:color w:val="000000"/>
          <w:sz w:val="20"/>
          <w:szCs w:val="20"/>
          <w:lang w:eastAsia="hi-IN" w:bidi="hi-IN"/>
        </w:rPr>
      </w:pPr>
    </w:p>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055E6A" w:rsidRPr="00055E6A" w14:paraId="62F98D32" w14:textId="77777777" w:rsidTr="00997877">
        <w:trPr>
          <w:gridAfter w:val="1"/>
          <w:wAfter w:w="10" w:type="dxa"/>
          <w:trHeight w:val="1611"/>
        </w:trPr>
        <w:tc>
          <w:tcPr>
            <w:tcW w:w="6631" w:type="dxa"/>
            <w:gridSpan w:val="17"/>
          </w:tcPr>
          <w:p w14:paraId="72E71B43" w14:textId="77777777" w:rsidR="00055E6A" w:rsidRPr="00055E6A" w:rsidRDefault="00055E6A" w:rsidP="00055E6A">
            <w:pPr>
              <w:spacing w:before="120" w:after="0" w:line="240" w:lineRule="auto"/>
              <w:ind w:hanging="45"/>
              <w:rPr>
                <w:rFonts w:ascii="Times New Roman" w:eastAsia="Calibri" w:hAnsi="Times New Roman" w:cs="Times New Roman"/>
                <w:color w:val="000000"/>
              </w:rPr>
            </w:pPr>
            <w:r w:rsidRPr="00055E6A">
              <w:rPr>
                <w:rFonts w:ascii="Times New Roman" w:eastAsia="Calibri" w:hAnsi="Times New Roman" w:cs="Times New Roman"/>
                <w:b/>
                <w:color w:val="000000"/>
              </w:rPr>
              <w:t>Nazwa projektu</w:t>
            </w:r>
          </w:p>
          <w:p w14:paraId="270DC3AA" w14:textId="14E2BFD2" w:rsidR="00055E6A" w:rsidRPr="00055E6A" w:rsidRDefault="00055E6A" w:rsidP="00055E6A">
            <w:pPr>
              <w:spacing w:after="0" w:line="240" w:lineRule="auto"/>
              <w:ind w:hanging="34"/>
              <w:rPr>
                <w:rFonts w:ascii="Times New Roman" w:eastAsia="Calibri" w:hAnsi="Times New Roman" w:cs="Times New Roman"/>
                <w:color w:val="000000"/>
              </w:rPr>
            </w:pPr>
            <w:r w:rsidRPr="00055E6A">
              <w:rPr>
                <w:rFonts w:ascii="Times New Roman" w:eastAsia="Calibri" w:hAnsi="Times New Roman" w:cs="Times New Roman"/>
                <w:color w:val="000000"/>
              </w:rPr>
              <w:t>Rozporządzenie Ministra Zdrowia w sprawie szczegółowego zakresu audytów klinicznych wewnętrznych oraz audytów klinicznych zewnętrznych</w:t>
            </w:r>
            <w:r w:rsidR="00A25106">
              <w:rPr>
                <w:rFonts w:ascii="Times New Roman" w:eastAsia="Calibri" w:hAnsi="Times New Roman" w:cs="Times New Roman"/>
                <w:color w:val="000000"/>
              </w:rPr>
              <w:t xml:space="preserve"> </w:t>
            </w:r>
            <w:r w:rsidR="00A25106" w:rsidRPr="00A25106">
              <w:rPr>
                <w:rFonts w:ascii="Times New Roman" w:eastAsia="Calibri" w:hAnsi="Times New Roman" w:cs="Times New Roman"/>
                <w:color w:val="000000"/>
              </w:rPr>
              <w:t>oraz wzoru raportów z ich przeprowadzenia</w:t>
            </w:r>
          </w:p>
          <w:p w14:paraId="56182101" w14:textId="77777777" w:rsidR="00055E6A" w:rsidRPr="00055E6A" w:rsidRDefault="00055E6A" w:rsidP="00055E6A">
            <w:pPr>
              <w:spacing w:before="120" w:after="0" w:line="240" w:lineRule="auto"/>
              <w:ind w:hanging="45"/>
              <w:rPr>
                <w:rFonts w:ascii="Times New Roman" w:eastAsia="Calibri" w:hAnsi="Times New Roman" w:cs="Times New Roman"/>
                <w:b/>
                <w:color w:val="000000"/>
              </w:rPr>
            </w:pPr>
            <w:r w:rsidRPr="00055E6A">
              <w:rPr>
                <w:rFonts w:ascii="Times New Roman" w:eastAsia="Calibri" w:hAnsi="Times New Roman" w:cs="Times New Roman"/>
                <w:b/>
                <w:color w:val="000000"/>
              </w:rPr>
              <w:t>Ministerstwo wiodące i ministerstwa współpracujące</w:t>
            </w:r>
          </w:p>
          <w:p w14:paraId="76B711CE" w14:textId="77777777" w:rsidR="00055E6A" w:rsidRPr="00055E6A" w:rsidRDefault="00055E6A" w:rsidP="00055E6A">
            <w:pPr>
              <w:spacing w:after="0" w:line="240" w:lineRule="auto"/>
              <w:ind w:hanging="34"/>
              <w:rPr>
                <w:rFonts w:ascii="Times New Roman" w:eastAsia="Calibri" w:hAnsi="Times New Roman" w:cs="Times New Roman"/>
                <w:color w:val="000000"/>
              </w:rPr>
            </w:pPr>
            <w:r w:rsidRPr="00055E6A">
              <w:rPr>
                <w:rFonts w:ascii="Times New Roman" w:eastAsia="Calibri" w:hAnsi="Times New Roman" w:cs="Times New Roman"/>
                <w:color w:val="000000"/>
              </w:rPr>
              <w:t>Ministerstwo Zdrowia</w:t>
            </w:r>
          </w:p>
          <w:p w14:paraId="683301FF" w14:textId="77777777" w:rsidR="00055E6A" w:rsidRPr="00055E6A" w:rsidRDefault="00055E6A" w:rsidP="00055E6A">
            <w:pPr>
              <w:spacing w:after="0" w:line="240" w:lineRule="auto"/>
              <w:rPr>
                <w:rFonts w:ascii="Times New Roman" w:eastAsia="Calibri" w:hAnsi="Times New Roman" w:cs="Times New Roman"/>
                <w:b/>
                <w:sz w:val="21"/>
                <w:szCs w:val="21"/>
              </w:rPr>
            </w:pPr>
            <w:r w:rsidRPr="00055E6A">
              <w:rPr>
                <w:rFonts w:ascii="Times New Roman" w:eastAsia="Calibri" w:hAnsi="Times New Roman" w:cs="Times New Roman"/>
                <w:b/>
                <w:sz w:val="21"/>
                <w:szCs w:val="24"/>
              </w:rPr>
              <w:t>Osoba odpowiedzialna za projekt w randze Ministra, Sekretarza Stanu lub Podsekretarza Stanu</w:t>
            </w:r>
            <w:r w:rsidRPr="00055E6A">
              <w:rPr>
                <w:rFonts w:ascii="Times New Roman" w:eastAsia="Calibri" w:hAnsi="Times New Roman" w:cs="Times New Roman"/>
                <w:b/>
                <w:sz w:val="21"/>
                <w:szCs w:val="21"/>
              </w:rPr>
              <w:t xml:space="preserve"> </w:t>
            </w:r>
          </w:p>
          <w:p w14:paraId="07E07EB7" w14:textId="77777777" w:rsidR="00055E6A" w:rsidRPr="00055E6A" w:rsidRDefault="00055E6A" w:rsidP="00055E6A">
            <w:pPr>
              <w:widowControl w:val="0"/>
              <w:suppressAutoHyphens/>
              <w:spacing w:before="120" w:after="60" w:line="240" w:lineRule="auto"/>
              <w:rPr>
                <w:rFonts w:ascii="Times New Roman" w:eastAsia="Calibri" w:hAnsi="Times New Roman" w:cs="Times New Roman"/>
              </w:rPr>
            </w:pPr>
            <w:r w:rsidRPr="00055E6A">
              <w:rPr>
                <w:rFonts w:ascii="Times New Roman" w:eastAsia="Calibri" w:hAnsi="Times New Roman" w:cs="Times New Roman"/>
                <w:sz w:val="24"/>
                <w:lang w:eastAsia="hi-IN" w:bidi="hi-IN"/>
              </w:rPr>
              <w:t xml:space="preserve">Waldemar Kraska – Sekretarz Stanu w Ministerstwie Zdrowia </w:t>
            </w:r>
          </w:p>
          <w:p w14:paraId="4A69D53F" w14:textId="77777777" w:rsidR="00055E6A" w:rsidRPr="00055E6A" w:rsidRDefault="00055E6A" w:rsidP="00055E6A">
            <w:pPr>
              <w:spacing w:before="120" w:after="0" w:line="240" w:lineRule="auto"/>
              <w:ind w:hanging="45"/>
              <w:rPr>
                <w:rFonts w:ascii="Times New Roman" w:eastAsia="Calibri" w:hAnsi="Times New Roman" w:cs="Times New Roman"/>
                <w:b/>
                <w:color w:val="000000"/>
              </w:rPr>
            </w:pPr>
            <w:r w:rsidRPr="00055E6A">
              <w:rPr>
                <w:rFonts w:ascii="Times New Roman" w:eastAsia="Calibri" w:hAnsi="Times New Roman" w:cs="Times New Roman"/>
                <w:b/>
                <w:color w:val="000000"/>
              </w:rPr>
              <w:t>Kontakt do opiekuna merytorycznego projektu</w:t>
            </w:r>
          </w:p>
          <w:p w14:paraId="5926B684" w14:textId="77777777" w:rsidR="00055E6A" w:rsidRPr="00055E6A" w:rsidRDefault="00055E6A" w:rsidP="00055E6A">
            <w:pPr>
              <w:spacing w:before="60" w:after="60" w:line="240" w:lineRule="auto"/>
              <w:ind w:hanging="34"/>
              <w:rPr>
                <w:rFonts w:ascii="Times New Roman" w:eastAsia="Calibri" w:hAnsi="Times New Roman" w:cs="Times New Roman"/>
                <w:color w:val="000000"/>
              </w:rPr>
            </w:pPr>
            <w:bookmarkStart w:id="0" w:name="t3"/>
            <w:r w:rsidRPr="00055E6A">
              <w:rPr>
                <w:rFonts w:ascii="Times New Roman" w:eastAsia="Calibri" w:hAnsi="Times New Roman" w:cs="Times New Roman"/>
                <w:color w:val="000000"/>
              </w:rPr>
              <w:t>Dariusz Poznański – Dyrektor Departamentu Zdrowia Publicznego Ministerstwa Zdrowia</w:t>
            </w:r>
          </w:p>
          <w:p w14:paraId="3D34BD9F" w14:textId="77777777" w:rsidR="00055E6A" w:rsidRPr="00055E6A" w:rsidRDefault="00055E6A" w:rsidP="00055E6A">
            <w:pPr>
              <w:spacing w:after="0" w:line="240" w:lineRule="auto"/>
              <w:ind w:hanging="34"/>
              <w:rPr>
                <w:rFonts w:ascii="Times New Roman" w:eastAsia="Calibri" w:hAnsi="Times New Roman" w:cs="Times New Roman"/>
                <w:color w:val="000000"/>
              </w:rPr>
            </w:pPr>
            <w:r w:rsidRPr="00055E6A">
              <w:rPr>
                <w:rFonts w:ascii="Times New Roman" w:eastAsia="Calibri" w:hAnsi="Times New Roman" w:cs="Times New Roman"/>
                <w:color w:val="000000"/>
              </w:rPr>
              <w:t>Telefon: +48 22 530 03 18, Email: dep-zp@mz.gov.pl</w:t>
            </w:r>
            <w:r w:rsidRPr="00055E6A" w:rsidDel="007000D9">
              <w:rPr>
                <w:rFonts w:ascii="Times New Roman" w:eastAsia="Calibri" w:hAnsi="Times New Roman" w:cs="Times New Roman"/>
                <w:color w:val="000000"/>
              </w:rPr>
              <w:t xml:space="preserve"> </w:t>
            </w:r>
            <w:bookmarkEnd w:id="0"/>
          </w:p>
        </w:tc>
        <w:tc>
          <w:tcPr>
            <w:tcW w:w="4306" w:type="dxa"/>
            <w:gridSpan w:val="12"/>
            <w:shd w:val="clear" w:color="auto" w:fill="FFFFFF"/>
          </w:tcPr>
          <w:p w14:paraId="2B5B442C" w14:textId="2EAB4EA4" w:rsidR="00055E6A" w:rsidRPr="00055E6A" w:rsidRDefault="00055E6A" w:rsidP="00055E6A">
            <w:pPr>
              <w:spacing w:after="0" w:line="240" w:lineRule="auto"/>
              <w:rPr>
                <w:rFonts w:ascii="Times New Roman" w:eastAsia="Calibri" w:hAnsi="Times New Roman" w:cs="Times New Roman"/>
                <w:b/>
                <w:sz w:val="21"/>
                <w:szCs w:val="21"/>
              </w:rPr>
            </w:pPr>
            <w:r w:rsidRPr="00055E6A">
              <w:rPr>
                <w:rFonts w:ascii="Times New Roman" w:eastAsia="Calibri" w:hAnsi="Times New Roman" w:cs="Times New Roman"/>
                <w:b/>
                <w:sz w:val="21"/>
                <w:szCs w:val="21"/>
              </w:rPr>
              <w:t>Data sporządzenia</w:t>
            </w:r>
            <w:r w:rsidRPr="00055E6A">
              <w:rPr>
                <w:rFonts w:ascii="Times New Roman" w:eastAsia="Calibri" w:hAnsi="Times New Roman" w:cs="Times New Roman"/>
                <w:b/>
                <w:sz w:val="21"/>
                <w:szCs w:val="21"/>
              </w:rPr>
              <w:br/>
            </w:r>
            <w:r w:rsidR="003F5328">
              <w:rPr>
                <w:rFonts w:ascii="Times New Roman" w:eastAsia="Calibri" w:hAnsi="Times New Roman" w:cs="Times New Roman"/>
                <w:sz w:val="21"/>
                <w:szCs w:val="21"/>
              </w:rPr>
              <w:t>23</w:t>
            </w:r>
            <w:r w:rsidR="000C5D89">
              <w:rPr>
                <w:rFonts w:ascii="Times New Roman" w:eastAsia="Calibri" w:hAnsi="Times New Roman" w:cs="Times New Roman"/>
                <w:sz w:val="21"/>
                <w:szCs w:val="21"/>
              </w:rPr>
              <w:t>.05</w:t>
            </w:r>
            <w:r w:rsidRPr="00055E6A">
              <w:rPr>
                <w:rFonts w:ascii="Times New Roman" w:eastAsia="Calibri" w:hAnsi="Times New Roman" w:cs="Times New Roman"/>
                <w:sz w:val="21"/>
                <w:szCs w:val="21"/>
              </w:rPr>
              <w:t>.2022</w:t>
            </w:r>
          </w:p>
          <w:p w14:paraId="6753036E" w14:textId="77777777" w:rsidR="00055E6A" w:rsidRPr="00055E6A" w:rsidRDefault="00055E6A" w:rsidP="00055E6A">
            <w:pPr>
              <w:spacing w:after="0" w:line="240" w:lineRule="auto"/>
              <w:rPr>
                <w:rFonts w:ascii="Times New Roman" w:eastAsia="Calibri" w:hAnsi="Times New Roman" w:cs="Times New Roman"/>
                <w:b/>
              </w:rPr>
            </w:pPr>
          </w:p>
          <w:p w14:paraId="76B77CAF" w14:textId="77777777" w:rsidR="00055E6A" w:rsidRPr="00055E6A" w:rsidRDefault="00055E6A" w:rsidP="00055E6A">
            <w:pPr>
              <w:spacing w:after="0" w:line="240" w:lineRule="auto"/>
              <w:rPr>
                <w:rFonts w:ascii="Times New Roman" w:eastAsia="Calibri" w:hAnsi="Times New Roman" w:cs="Times New Roman"/>
                <w:b/>
              </w:rPr>
            </w:pPr>
            <w:r w:rsidRPr="00055E6A">
              <w:rPr>
                <w:rFonts w:ascii="Times New Roman" w:eastAsia="Calibri" w:hAnsi="Times New Roman" w:cs="Times New Roman"/>
                <w:b/>
              </w:rPr>
              <w:t xml:space="preserve">Źródło: </w:t>
            </w:r>
          </w:p>
          <w:p w14:paraId="78372AB9" w14:textId="77777777" w:rsidR="00055E6A" w:rsidRPr="00055E6A" w:rsidRDefault="00055E6A" w:rsidP="00055E6A">
            <w:pPr>
              <w:spacing w:after="0" w:line="240" w:lineRule="auto"/>
              <w:rPr>
                <w:rFonts w:ascii="Times New Roman" w:eastAsia="Calibri" w:hAnsi="Times New Roman" w:cs="Times New Roman"/>
              </w:rPr>
            </w:pPr>
            <w:r w:rsidRPr="00055E6A">
              <w:rPr>
                <w:rFonts w:ascii="Times New Roman" w:eastAsia="Calibri" w:hAnsi="Times New Roman" w:cs="Times New Roman"/>
              </w:rPr>
              <w:t xml:space="preserve">Upoważnienie ustawowe – art. 33x ustawy z dnia 29 listopada 2000 r. – Prawo atomowe (Dz. U. z 2021 r. poz. 1941) </w:t>
            </w:r>
          </w:p>
          <w:p w14:paraId="4BD775FC" w14:textId="77777777" w:rsidR="008D0930" w:rsidRDefault="00055E6A" w:rsidP="00055E6A">
            <w:pPr>
              <w:spacing w:before="120" w:after="0" w:line="240" w:lineRule="auto"/>
              <w:rPr>
                <w:rFonts w:ascii="Times New Roman" w:eastAsia="Calibri" w:hAnsi="Times New Roman" w:cs="Times New Roman"/>
                <w:b/>
                <w:color w:val="000000"/>
              </w:rPr>
            </w:pPr>
            <w:r w:rsidRPr="00055E6A">
              <w:rPr>
                <w:rFonts w:ascii="Times New Roman" w:eastAsia="Calibri" w:hAnsi="Times New Roman" w:cs="Times New Roman"/>
                <w:b/>
                <w:color w:val="000000"/>
              </w:rPr>
              <w:t xml:space="preserve">Nr w wykazie prac legislacyjnych Ministra Zdrowia </w:t>
            </w:r>
          </w:p>
          <w:p w14:paraId="776F03CC" w14:textId="6C3C904B" w:rsidR="00055E6A" w:rsidRPr="00905D7B" w:rsidRDefault="008D0930" w:rsidP="00055E6A">
            <w:pPr>
              <w:spacing w:before="120" w:after="0" w:line="240" w:lineRule="auto"/>
              <w:rPr>
                <w:rFonts w:ascii="Times New Roman" w:eastAsia="Calibri" w:hAnsi="Times New Roman" w:cs="Times New Roman"/>
                <w:bCs/>
                <w:color w:val="000000"/>
              </w:rPr>
            </w:pPr>
            <w:r w:rsidRPr="00905D7B">
              <w:rPr>
                <w:rFonts w:ascii="Times New Roman" w:eastAsia="Calibri" w:hAnsi="Times New Roman" w:cs="Times New Roman"/>
                <w:bCs/>
                <w:color w:val="000000"/>
              </w:rPr>
              <w:t>MZ 1322</w:t>
            </w:r>
          </w:p>
          <w:p w14:paraId="78F1AE67" w14:textId="77777777" w:rsidR="00055E6A" w:rsidRPr="00055E6A" w:rsidRDefault="00055E6A" w:rsidP="00055E6A">
            <w:pPr>
              <w:spacing w:after="0" w:line="240" w:lineRule="auto"/>
              <w:rPr>
                <w:rFonts w:ascii="Times New Roman" w:eastAsia="Calibri" w:hAnsi="Times New Roman" w:cs="Times New Roman"/>
                <w:color w:val="000000"/>
              </w:rPr>
            </w:pPr>
          </w:p>
          <w:p w14:paraId="6ABCAB03" w14:textId="77777777" w:rsidR="00055E6A" w:rsidRPr="00055E6A" w:rsidRDefault="00055E6A" w:rsidP="00055E6A">
            <w:pPr>
              <w:spacing w:after="0" w:line="240" w:lineRule="auto"/>
              <w:rPr>
                <w:rFonts w:ascii="Times New Roman" w:eastAsia="Calibri" w:hAnsi="Times New Roman" w:cs="Times New Roman"/>
                <w:color w:val="000000"/>
                <w:sz w:val="28"/>
                <w:szCs w:val="28"/>
              </w:rPr>
            </w:pPr>
          </w:p>
        </w:tc>
      </w:tr>
      <w:tr w:rsidR="00055E6A" w:rsidRPr="00055E6A" w14:paraId="1F0AA833" w14:textId="77777777" w:rsidTr="00997877">
        <w:trPr>
          <w:gridAfter w:val="1"/>
          <w:wAfter w:w="10" w:type="dxa"/>
          <w:trHeight w:val="142"/>
        </w:trPr>
        <w:tc>
          <w:tcPr>
            <w:tcW w:w="10937" w:type="dxa"/>
            <w:gridSpan w:val="29"/>
            <w:shd w:val="clear" w:color="auto" w:fill="99CCFF"/>
          </w:tcPr>
          <w:p w14:paraId="1AAAA1B7" w14:textId="77777777" w:rsidR="00055E6A" w:rsidRPr="00055E6A" w:rsidRDefault="00055E6A" w:rsidP="00055E6A">
            <w:pPr>
              <w:spacing w:after="0" w:line="240" w:lineRule="auto"/>
              <w:ind w:left="57"/>
              <w:jc w:val="center"/>
              <w:rPr>
                <w:rFonts w:ascii="Times New Roman" w:eastAsia="Calibri" w:hAnsi="Times New Roman" w:cs="Times New Roman"/>
                <w:b/>
                <w:color w:val="FFFFFF"/>
                <w:sz w:val="32"/>
                <w:szCs w:val="32"/>
              </w:rPr>
            </w:pPr>
            <w:r w:rsidRPr="00055E6A">
              <w:rPr>
                <w:rFonts w:ascii="Times New Roman" w:eastAsia="Calibri" w:hAnsi="Times New Roman" w:cs="Times New Roman"/>
                <w:b/>
                <w:color w:val="FFFFFF"/>
                <w:sz w:val="32"/>
                <w:szCs w:val="32"/>
              </w:rPr>
              <w:t>OCENA SKUTKÓW REGULACJI</w:t>
            </w:r>
          </w:p>
        </w:tc>
      </w:tr>
      <w:tr w:rsidR="00055E6A" w:rsidRPr="00055E6A" w14:paraId="0C17B5D7" w14:textId="77777777" w:rsidTr="00997877">
        <w:trPr>
          <w:gridAfter w:val="1"/>
          <w:wAfter w:w="10" w:type="dxa"/>
          <w:trHeight w:val="333"/>
        </w:trPr>
        <w:tc>
          <w:tcPr>
            <w:tcW w:w="10937" w:type="dxa"/>
            <w:gridSpan w:val="29"/>
            <w:shd w:val="clear" w:color="auto" w:fill="99CCFF"/>
            <w:vAlign w:val="center"/>
          </w:tcPr>
          <w:p w14:paraId="76E36146" w14:textId="77777777" w:rsidR="00055E6A" w:rsidRPr="00055E6A" w:rsidRDefault="00055E6A" w:rsidP="00055E6A">
            <w:pPr>
              <w:widowControl w:val="0"/>
              <w:numPr>
                <w:ilvl w:val="0"/>
                <w:numId w:val="1"/>
              </w:numPr>
              <w:suppressAutoHyphens/>
              <w:spacing w:before="60" w:after="60" w:line="240" w:lineRule="auto"/>
              <w:ind w:left="318" w:hanging="284"/>
              <w:jc w:val="both"/>
              <w:rPr>
                <w:rFonts w:ascii="Times New Roman" w:eastAsia="Calibri" w:hAnsi="Times New Roman" w:cs="Times New Roman"/>
                <w:b/>
                <w:color w:val="000000"/>
              </w:rPr>
            </w:pPr>
            <w:r w:rsidRPr="00055E6A">
              <w:rPr>
                <w:rFonts w:ascii="Times New Roman" w:eastAsia="Calibri" w:hAnsi="Times New Roman" w:cs="Times New Roman"/>
                <w:b/>
              </w:rPr>
              <w:t>Jaki problem jest rozwiązywany?</w:t>
            </w:r>
          </w:p>
        </w:tc>
      </w:tr>
      <w:tr w:rsidR="00055E6A" w:rsidRPr="00055E6A" w14:paraId="4A619CBA" w14:textId="77777777" w:rsidTr="00997877">
        <w:trPr>
          <w:gridAfter w:val="1"/>
          <w:wAfter w:w="10" w:type="dxa"/>
          <w:trHeight w:val="142"/>
        </w:trPr>
        <w:tc>
          <w:tcPr>
            <w:tcW w:w="10937" w:type="dxa"/>
            <w:gridSpan w:val="29"/>
            <w:shd w:val="clear" w:color="auto" w:fill="FFFFFF"/>
          </w:tcPr>
          <w:p w14:paraId="04A7B2E1" w14:textId="77777777" w:rsidR="00055E6A" w:rsidRPr="00055E6A" w:rsidRDefault="00055E6A" w:rsidP="00055E6A">
            <w:pPr>
              <w:spacing w:after="0" w:line="240" w:lineRule="auto"/>
              <w:jc w:val="both"/>
              <w:rPr>
                <w:rFonts w:ascii="Times New Roman" w:eastAsia="Calibri" w:hAnsi="Times New Roman" w:cs="Times New Roman"/>
                <w:color w:val="000000"/>
              </w:rPr>
            </w:pPr>
          </w:p>
          <w:p w14:paraId="308616F0" w14:textId="77777777" w:rsidR="00055E6A" w:rsidRPr="00055E6A" w:rsidRDefault="00055E6A" w:rsidP="00055E6A">
            <w:pPr>
              <w:spacing w:after="0" w:line="240" w:lineRule="auto"/>
              <w:jc w:val="both"/>
              <w:rPr>
                <w:rFonts w:ascii="Times New Roman" w:eastAsia="Calibri" w:hAnsi="Times New Roman" w:cs="Times New Roman"/>
                <w:color w:val="000000"/>
              </w:rPr>
            </w:pPr>
            <w:r w:rsidRPr="00055E6A">
              <w:rPr>
                <w:rFonts w:ascii="Times New Roman" w:eastAsia="Calibri" w:hAnsi="Times New Roman" w:cs="Times New Roman"/>
                <w:color w:val="000000"/>
              </w:rPr>
              <w:t xml:space="preserve">Projekt rozporządzenia w sprawie audytów klinicznych wewnętrznych oraz audytów klinicznych zewnętrznych i wzoru raportu z przeprowadzonego audytu klinicznego wewnętrznego oraz wzoru raportu z przeprowadzonego audytu klinicznego zewnętrznego stanowi realizację upoważnienia ustawowego zawartego w art. 33x ustawy z dnia 29 listopada 2000 r. – Prawo atomowe.  </w:t>
            </w:r>
          </w:p>
          <w:p w14:paraId="232ACDAE" w14:textId="6A7871F3" w:rsidR="00055E6A" w:rsidRPr="00055E6A" w:rsidRDefault="00055E6A" w:rsidP="00055E6A">
            <w:pPr>
              <w:spacing w:after="0" w:line="240" w:lineRule="auto"/>
              <w:jc w:val="both"/>
              <w:rPr>
                <w:rFonts w:ascii="Times New Roman" w:eastAsia="Calibri" w:hAnsi="Times New Roman" w:cs="Times New Roman"/>
                <w:color w:val="000000"/>
              </w:rPr>
            </w:pPr>
            <w:r w:rsidRPr="00055E6A">
              <w:rPr>
                <w:rFonts w:ascii="Times New Roman" w:eastAsia="Calibri" w:hAnsi="Times New Roman" w:cs="Times New Roman"/>
                <w:color w:val="000000"/>
              </w:rPr>
              <w:t xml:space="preserve">Zgodnie z tym </w:t>
            </w:r>
            <w:r w:rsidR="008D0930">
              <w:rPr>
                <w:rFonts w:ascii="Times New Roman" w:eastAsia="Calibri" w:hAnsi="Times New Roman" w:cs="Times New Roman"/>
                <w:color w:val="000000"/>
              </w:rPr>
              <w:t>przepisem</w:t>
            </w:r>
            <w:r w:rsidR="008D0930" w:rsidRPr="00055E6A">
              <w:rPr>
                <w:rFonts w:ascii="Times New Roman" w:eastAsia="Calibri" w:hAnsi="Times New Roman" w:cs="Times New Roman"/>
                <w:color w:val="000000"/>
              </w:rPr>
              <w:t xml:space="preserve"> </w:t>
            </w:r>
            <w:r w:rsidRPr="00055E6A">
              <w:rPr>
                <w:rFonts w:ascii="Times New Roman" w:eastAsia="Calibri" w:hAnsi="Times New Roman" w:cs="Times New Roman"/>
                <w:color w:val="000000"/>
              </w:rPr>
              <w:t xml:space="preserve">minister właściwy do spraw zdrowia określi, w drodze rozporządzenia: </w:t>
            </w:r>
          </w:p>
          <w:p w14:paraId="3C21538B" w14:textId="77777777" w:rsidR="00055E6A" w:rsidRPr="00055E6A" w:rsidRDefault="00055E6A" w:rsidP="00055E6A">
            <w:pPr>
              <w:spacing w:after="0" w:line="240" w:lineRule="auto"/>
              <w:jc w:val="both"/>
              <w:rPr>
                <w:rFonts w:ascii="Times New Roman" w:eastAsia="Calibri" w:hAnsi="Times New Roman" w:cs="Times New Roman"/>
                <w:color w:val="000000"/>
              </w:rPr>
            </w:pPr>
            <w:r w:rsidRPr="00055E6A">
              <w:rPr>
                <w:rFonts w:ascii="Times New Roman" w:eastAsia="Calibri" w:hAnsi="Times New Roman" w:cs="Times New Roman"/>
                <w:color w:val="000000"/>
              </w:rPr>
              <w:t xml:space="preserve">1) szczegółowy zakres audytów klinicznych wewnętrznych oraz audytów klinicznych zewnętrznych, </w:t>
            </w:r>
          </w:p>
          <w:p w14:paraId="658ED256" w14:textId="77777777" w:rsidR="00055E6A" w:rsidRPr="00055E6A" w:rsidRDefault="00055E6A" w:rsidP="00055E6A">
            <w:pPr>
              <w:spacing w:after="0" w:line="240" w:lineRule="auto"/>
              <w:jc w:val="both"/>
              <w:rPr>
                <w:rFonts w:ascii="Times New Roman" w:eastAsia="Calibri" w:hAnsi="Times New Roman" w:cs="Times New Roman"/>
                <w:color w:val="000000"/>
              </w:rPr>
            </w:pPr>
            <w:r w:rsidRPr="00055E6A">
              <w:rPr>
                <w:rFonts w:ascii="Times New Roman" w:eastAsia="Calibri" w:hAnsi="Times New Roman" w:cs="Times New Roman"/>
                <w:color w:val="000000"/>
              </w:rPr>
              <w:t xml:space="preserve">2) wzór raportu z przeprowadzonego audytu klinicznego wewnętrznego oraz wzór raportu z przeprowadzonego audytu klinicznego zewnętrznego </w:t>
            </w:r>
          </w:p>
          <w:p w14:paraId="33281B17" w14:textId="77777777" w:rsidR="00055E6A" w:rsidRPr="00055E6A" w:rsidRDefault="00055E6A" w:rsidP="00055E6A">
            <w:pPr>
              <w:spacing w:after="0" w:line="240" w:lineRule="auto"/>
              <w:jc w:val="both"/>
              <w:rPr>
                <w:rFonts w:ascii="Times New Roman" w:eastAsia="Calibri" w:hAnsi="Times New Roman" w:cs="Times New Roman"/>
                <w:color w:val="000000"/>
              </w:rPr>
            </w:pPr>
            <w:r w:rsidRPr="00055E6A">
              <w:rPr>
                <w:rFonts w:ascii="Times New Roman" w:eastAsia="Calibri" w:hAnsi="Times New Roman" w:cs="Times New Roman"/>
                <w:color w:val="000000"/>
              </w:rPr>
              <w:t>– mając na względzie poprawę jakości i wyników opieki nad pacjentem oraz zapewnienie wysokiej jakości świadczonych usług medycznych, a także bezpieczeństwo pacjentów poddawanych medycznym procedurom radiologicznym oraz konieczność weryfikacji diagnostycznych poziomów referencyjnych i skuteczność okresowej oceny narażenia ludności wynikającego z medycznych zastosowań promieniowania jonizującego.</w:t>
            </w:r>
          </w:p>
          <w:p w14:paraId="24A3FFC6" w14:textId="77777777" w:rsidR="00055E6A" w:rsidRPr="00055E6A" w:rsidRDefault="00055E6A" w:rsidP="00055E6A">
            <w:pPr>
              <w:spacing w:after="0" w:line="240" w:lineRule="auto"/>
              <w:jc w:val="both"/>
              <w:rPr>
                <w:rFonts w:ascii="Times New Roman" w:eastAsia="Calibri" w:hAnsi="Times New Roman" w:cs="Times New Roman"/>
                <w:color w:val="000000"/>
              </w:rPr>
            </w:pPr>
          </w:p>
          <w:p w14:paraId="42980E2B" w14:textId="79312DCF" w:rsidR="00055E6A" w:rsidRPr="00055E6A" w:rsidRDefault="00055E6A" w:rsidP="00055E6A">
            <w:pPr>
              <w:spacing w:after="0" w:line="240" w:lineRule="auto"/>
              <w:jc w:val="both"/>
              <w:rPr>
                <w:rFonts w:ascii="Times New Roman" w:eastAsia="Calibri" w:hAnsi="Times New Roman" w:cs="Times New Roman"/>
                <w:color w:val="000000"/>
              </w:rPr>
            </w:pPr>
            <w:r w:rsidRPr="00055E6A">
              <w:rPr>
                <w:rFonts w:ascii="Times New Roman" w:eastAsia="Calibri" w:hAnsi="Times New Roman" w:cs="Times New Roman"/>
                <w:color w:val="000000"/>
              </w:rPr>
              <w:t>W dotychczasowym stanie prawnym, tj. przed wejściem w życie nowelizacji ustawy z dnia 29 listopada 2000 r. – Prawo atomowe wdrażającej dyrektywę 2013/59/</w:t>
            </w:r>
            <w:proofErr w:type="spellStart"/>
            <w:r w:rsidRPr="00055E6A">
              <w:rPr>
                <w:rFonts w:ascii="Times New Roman" w:eastAsia="Calibri" w:hAnsi="Times New Roman" w:cs="Times New Roman"/>
                <w:color w:val="000000"/>
              </w:rPr>
              <w:t>Euratom</w:t>
            </w:r>
            <w:proofErr w:type="spellEnd"/>
            <w:r w:rsidRPr="00055E6A">
              <w:rPr>
                <w:rFonts w:ascii="Times New Roman" w:eastAsia="Calibri" w:hAnsi="Times New Roman" w:cs="Times New Roman"/>
                <w:color w:val="000000"/>
              </w:rPr>
              <w:t xml:space="preserve"> ustanawiającą podstawowe normy bezpieczeństwa w celu ochrony przed zagrożeniami wynikającymi z narażenia na działanie promieniowania jonizującego oraz uchylającą dyrektywy 89/618/</w:t>
            </w:r>
            <w:proofErr w:type="spellStart"/>
            <w:r w:rsidRPr="00055E6A">
              <w:rPr>
                <w:rFonts w:ascii="Times New Roman" w:eastAsia="Calibri" w:hAnsi="Times New Roman" w:cs="Times New Roman"/>
                <w:color w:val="000000"/>
              </w:rPr>
              <w:t>Euratom</w:t>
            </w:r>
            <w:proofErr w:type="spellEnd"/>
            <w:r w:rsidRPr="00055E6A">
              <w:rPr>
                <w:rFonts w:ascii="Times New Roman" w:eastAsia="Calibri" w:hAnsi="Times New Roman" w:cs="Times New Roman"/>
                <w:color w:val="000000"/>
              </w:rPr>
              <w:t>, 90/641/</w:t>
            </w:r>
            <w:proofErr w:type="spellStart"/>
            <w:r w:rsidRPr="00055E6A">
              <w:rPr>
                <w:rFonts w:ascii="Times New Roman" w:eastAsia="Calibri" w:hAnsi="Times New Roman" w:cs="Times New Roman"/>
                <w:color w:val="000000"/>
              </w:rPr>
              <w:t>Euratom</w:t>
            </w:r>
            <w:proofErr w:type="spellEnd"/>
            <w:r w:rsidRPr="00055E6A">
              <w:rPr>
                <w:rFonts w:ascii="Times New Roman" w:eastAsia="Calibri" w:hAnsi="Times New Roman" w:cs="Times New Roman"/>
                <w:color w:val="000000"/>
              </w:rPr>
              <w:t>, 96/29/</w:t>
            </w:r>
            <w:proofErr w:type="spellStart"/>
            <w:r w:rsidRPr="00055E6A">
              <w:rPr>
                <w:rFonts w:ascii="Times New Roman" w:eastAsia="Calibri" w:hAnsi="Times New Roman" w:cs="Times New Roman"/>
                <w:color w:val="000000"/>
              </w:rPr>
              <w:t>Euratom</w:t>
            </w:r>
            <w:proofErr w:type="spellEnd"/>
            <w:r w:rsidRPr="00055E6A">
              <w:rPr>
                <w:rFonts w:ascii="Times New Roman" w:eastAsia="Calibri" w:hAnsi="Times New Roman" w:cs="Times New Roman"/>
                <w:color w:val="000000"/>
              </w:rPr>
              <w:t>, 97/43/</w:t>
            </w:r>
            <w:proofErr w:type="spellStart"/>
            <w:r w:rsidRPr="00055E6A">
              <w:rPr>
                <w:rFonts w:ascii="Times New Roman" w:eastAsia="Calibri" w:hAnsi="Times New Roman" w:cs="Times New Roman"/>
                <w:color w:val="000000"/>
              </w:rPr>
              <w:t>Euratom</w:t>
            </w:r>
            <w:proofErr w:type="spellEnd"/>
            <w:r w:rsidRPr="00055E6A">
              <w:rPr>
                <w:rFonts w:ascii="Times New Roman" w:eastAsia="Calibri" w:hAnsi="Times New Roman" w:cs="Times New Roman"/>
                <w:color w:val="000000"/>
              </w:rPr>
              <w:t xml:space="preserve"> i 2003/122/</w:t>
            </w:r>
            <w:proofErr w:type="spellStart"/>
            <w:r w:rsidRPr="00055E6A">
              <w:rPr>
                <w:rFonts w:ascii="Times New Roman" w:eastAsia="Calibri" w:hAnsi="Times New Roman" w:cs="Times New Roman"/>
                <w:color w:val="000000"/>
              </w:rPr>
              <w:t>Euratom</w:t>
            </w:r>
            <w:proofErr w:type="spellEnd"/>
            <w:r w:rsidR="008D0930">
              <w:rPr>
                <w:rFonts w:ascii="Times New Roman" w:eastAsia="Calibri" w:hAnsi="Times New Roman" w:cs="Times New Roman"/>
                <w:color w:val="000000"/>
              </w:rPr>
              <w:t xml:space="preserve"> (</w:t>
            </w:r>
            <w:r w:rsidR="008D0930" w:rsidRPr="008D0930">
              <w:rPr>
                <w:rFonts w:ascii="Times New Roman" w:eastAsia="Calibri" w:hAnsi="Times New Roman" w:cs="Times New Roman"/>
                <w:color w:val="000000"/>
              </w:rPr>
              <w:t>Dz. Urz. UE L 13 z 17.01.2014, str. 1,</w:t>
            </w:r>
            <w:r w:rsidR="008D0930">
              <w:rPr>
                <w:rFonts w:ascii="Times New Roman" w:eastAsia="Calibri" w:hAnsi="Times New Roman" w:cs="Times New Roman"/>
                <w:color w:val="000000"/>
              </w:rPr>
              <w:t xml:space="preserve"> z późn. zm.)</w:t>
            </w:r>
            <w:r w:rsidRPr="00055E6A">
              <w:rPr>
                <w:rFonts w:ascii="Times New Roman" w:eastAsia="Calibri" w:hAnsi="Times New Roman" w:cs="Times New Roman"/>
                <w:color w:val="000000"/>
              </w:rPr>
              <w:t xml:space="preserve">, kwestie objęte projektowanym rozporządzeniem </w:t>
            </w:r>
            <w:r w:rsidR="00107AEF">
              <w:rPr>
                <w:rFonts w:ascii="Times New Roman" w:eastAsia="Calibri" w:hAnsi="Times New Roman" w:cs="Times New Roman"/>
                <w:color w:val="000000"/>
              </w:rPr>
              <w:t>są aktualnie</w:t>
            </w:r>
            <w:r w:rsidRPr="00055E6A">
              <w:rPr>
                <w:rFonts w:ascii="Times New Roman" w:eastAsia="Calibri" w:hAnsi="Times New Roman" w:cs="Times New Roman"/>
                <w:color w:val="000000"/>
              </w:rPr>
              <w:t xml:space="preserve"> uregulowane w rozporządzeniu Ministra Zdrowia z dnia 18 lutego 2011 r. w sprawie warunków bezpiecznego stosowania promieniowania jonizującego dla wszystkich rodzajów ekspozycji medycznej (Dz. U. z 2017 r. poz. 884), w wyodrębnionym rozdziale 8</w:t>
            </w:r>
            <w:r w:rsidR="00A57B9F">
              <w:rPr>
                <w:rFonts w:ascii="Times New Roman" w:eastAsia="Calibri" w:hAnsi="Times New Roman" w:cs="Times New Roman"/>
                <w:color w:val="000000"/>
              </w:rPr>
              <w:t>.</w:t>
            </w:r>
            <w:r w:rsidRPr="00055E6A">
              <w:rPr>
                <w:rFonts w:ascii="Times New Roman" w:eastAsia="Calibri" w:hAnsi="Times New Roman" w:cs="Times New Roman"/>
                <w:color w:val="000000"/>
              </w:rPr>
              <w:t xml:space="preserve"> – „Audyty kliniczne wewnętrzne i zewnętrzne”. W stosunku do projektowanej regulacji, dotychczas obowiązujące przepisy wykonawcze dot</w:t>
            </w:r>
            <w:r w:rsidR="00EC1F70">
              <w:rPr>
                <w:rFonts w:ascii="Times New Roman" w:eastAsia="Calibri" w:hAnsi="Times New Roman" w:cs="Times New Roman"/>
                <w:color w:val="000000"/>
              </w:rPr>
              <w:t>yczące</w:t>
            </w:r>
            <w:r w:rsidRPr="00055E6A">
              <w:rPr>
                <w:rFonts w:ascii="Times New Roman" w:eastAsia="Calibri" w:hAnsi="Times New Roman" w:cs="Times New Roman"/>
                <w:color w:val="000000"/>
              </w:rPr>
              <w:t xml:space="preserve"> audytów klinicznych były znacznie szerzej określone ponieważ – zgodnie z upoważnieniem zamieszczonym w art. 33c ust. 9 pkt 10 (w brzmieniu przed nowelizacją) – przepisy te określały wymagania, warunki oraz częstotliwość wykonywania klinicznych audytów wewnętrznych i zewnętrznych dotyczących przestrzegania wymogów ochrony radiologicznej pacjenta, a także podmioty uprawnione do wykonywania tych audytów. Aktualnie projektowane rozporządzenie ogranicza regulację przepisów wykonawczych w zakresie audytów klinicznych wyłącznie do określenia przedmiotowego zakresu audytów klinicznych, ponieważ kwestie dotyczące podmiotów uprawnionych do ich wykonywania (wewnętrznych i zewnętrznych), częstotliwości przeprowadzania audytów klinicznych (wewnętrznych) oraz trybu ich przeprowadzania zostały zamieszczone w regulacji ustawowej (art. 33u </w:t>
            </w:r>
            <w:r w:rsidR="00EC1F70" w:rsidRPr="00055E6A">
              <w:rPr>
                <w:rFonts w:ascii="Times New Roman" w:eastAsia="Calibri" w:hAnsi="Times New Roman" w:cs="Times New Roman"/>
                <w:color w:val="000000"/>
              </w:rPr>
              <w:t>–</w:t>
            </w:r>
            <w:r w:rsidRPr="00055E6A">
              <w:rPr>
                <w:rFonts w:ascii="Times New Roman" w:eastAsia="Calibri" w:hAnsi="Times New Roman" w:cs="Times New Roman"/>
                <w:color w:val="000000"/>
              </w:rPr>
              <w:t xml:space="preserve"> art. 33y ustawy z dnia 29 listopada 2000 r. – Prawo atomowe w brzmieniu nadanym nowelizacją).  </w:t>
            </w:r>
          </w:p>
          <w:p w14:paraId="1741979A" w14:textId="7832B687" w:rsidR="00055E6A" w:rsidRPr="00055E6A" w:rsidRDefault="00055E6A" w:rsidP="00055E6A">
            <w:pPr>
              <w:spacing w:after="0" w:line="240" w:lineRule="auto"/>
              <w:jc w:val="both"/>
              <w:rPr>
                <w:rFonts w:ascii="Times New Roman" w:eastAsia="Calibri" w:hAnsi="Times New Roman" w:cs="Times New Roman"/>
                <w:color w:val="000000"/>
              </w:rPr>
            </w:pPr>
            <w:r w:rsidRPr="00055E6A">
              <w:rPr>
                <w:rFonts w:ascii="Times New Roman" w:eastAsia="Calibri" w:hAnsi="Times New Roman" w:cs="Times New Roman"/>
                <w:color w:val="000000"/>
              </w:rPr>
              <w:t>Zgodnie z art. 37 ust. 2 pkt 2 ustawy z dnia 13 czerwca 2019 r. o zmianie ustawy – Prawo atomowe oraz ustawy o ochronie przeciwpożarowej (Dz. U. z 2019 r. poz. 1593</w:t>
            </w:r>
            <w:r w:rsidR="008D0930">
              <w:rPr>
                <w:rFonts w:ascii="Times New Roman" w:eastAsia="Calibri" w:hAnsi="Times New Roman" w:cs="Times New Roman"/>
                <w:color w:val="000000"/>
              </w:rPr>
              <w:t xml:space="preserve"> oraz z 2020 r. poz. 284</w:t>
            </w:r>
            <w:r w:rsidRPr="00055E6A">
              <w:rPr>
                <w:rFonts w:ascii="Times New Roman" w:eastAsia="Calibri" w:hAnsi="Times New Roman" w:cs="Times New Roman"/>
                <w:color w:val="000000"/>
              </w:rPr>
              <w:t>), rozporządzenie dotychczas regulujące m.in. kwestie audytów klinicznych zewnętrznych i wewnętrznych utraci moc obowiązującą z dniem wejścia w życie niniejszego rozporządzenia.</w:t>
            </w:r>
          </w:p>
        </w:tc>
      </w:tr>
      <w:tr w:rsidR="00055E6A" w:rsidRPr="00055E6A" w14:paraId="5F135FFB" w14:textId="77777777" w:rsidTr="00997877">
        <w:trPr>
          <w:gridAfter w:val="1"/>
          <w:wAfter w:w="10" w:type="dxa"/>
          <w:trHeight w:val="142"/>
        </w:trPr>
        <w:tc>
          <w:tcPr>
            <w:tcW w:w="10937" w:type="dxa"/>
            <w:gridSpan w:val="29"/>
            <w:shd w:val="clear" w:color="auto" w:fill="99CCFF"/>
            <w:vAlign w:val="center"/>
          </w:tcPr>
          <w:p w14:paraId="1DC664BD" w14:textId="77777777" w:rsidR="00055E6A" w:rsidRPr="00055E6A" w:rsidRDefault="00055E6A" w:rsidP="00055E6A">
            <w:pPr>
              <w:widowControl w:val="0"/>
              <w:numPr>
                <w:ilvl w:val="0"/>
                <w:numId w:val="1"/>
              </w:numPr>
              <w:suppressAutoHyphens/>
              <w:spacing w:before="60" w:after="60" w:line="240" w:lineRule="auto"/>
              <w:ind w:left="318" w:hanging="284"/>
              <w:jc w:val="both"/>
              <w:rPr>
                <w:rFonts w:ascii="Times New Roman" w:eastAsia="Calibri" w:hAnsi="Times New Roman" w:cs="Times New Roman"/>
                <w:b/>
                <w:color w:val="000000"/>
              </w:rPr>
            </w:pPr>
            <w:r w:rsidRPr="00055E6A">
              <w:rPr>
                <w:rFonts w:ascii="Times New Roman" w:eastAsia="Calibri" w:hAnsi="Times New Roman" w:cs="Times New Roman"/>
                <w:b/>
                <w:color w:val="000000"/>
                <w:spacing w:val="-2"/>
              </w:rPr>
              <w:t>Rekomendowane rozwiązanie, w tym planowane narzędzia interwencji, i oczekiwany efekt</w:t>
            </w:r>
          </w:p>
        </w:tc>
      </w:tr>
      <w:tr w:rsidR="00055E6A" w:rsidRPr="00055E6A" w14:paraId="2B46990E" w14:textId="77777777" w:rsidTr="00997877">
        <w:trPr>
          <w:gridAfter w:val="1"/>
          <w:wAfter w:w="10" w:type="dxa"/>
          <w:trHeight w:val="142"/>
        </w:trPr>
        <w:tc>
          <w:tcPr>
            <w:tcW w:w="10937" w:type="dxa"/>
            <w:gridSpan w:val="29"/>
            <w:shd w:val="clear" w:color="auto" w:fill="auto"/>
          </w:tcPr>
          <w:p w14:paraId="0555F84E" w14:textId="77777777" w:rsidR="00055E6A" w:rsidRPr="00055E6A" w:rsidRDefault="00055E6A" w:rsidP="00055E6A">
            <w:pPr>
              <w:spacing w:after="0" w:line="240" w:lineRule="auto"/>
              <w:jc w:val="both"/>
              <w:rPr>
                <w:rFonts w:ascii="Times New Roman" w:eastAsia="Calibri" w:hAnsi="Times New Roman" w:cs="Times New Roman"/>
                <w:color w:val="000000"/>
                <w:spacing w:val="-2"/>
              </w:rPr>
            </w:pPr>
          </w:p>
          <w:p w14:paraId="4012C61A" w14:textId="6EB74D17" w:rsidR="00055E6A" w:rsidRPr="00055E6A" w:rsidRDefault="00055E6A" w:rsidP="00055E6A">
            <w:pPr>
              <w:spacing w:after="0" w:line="240" w:lineRule="auto"/>
              <w:jc w:val="both"/>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 xml:space="preserve">Audyt kliniczny został zdefiniowany w ustawie z dnia 29 listopada 2000 r. – Prawo atomowe (art. 3 pkt 1) jako „systematyczna kontrola lub przegląd medycznych procedur radiologicznych, mające na celu polepszenie jakości udzielanych pacjentowi świadczeń zdrowotnych poprzez usystematyzowaną analizę, w ramach której praktyka, procedury i wyniki radiologiczne są porównywane z uznanymi standardami oraz, w razie konieczności, modyfikację dotychczasowego </w:t>
            </w:r>
            <w:r w:rsidRPr="00055E6A">
              <w:rPr>
                <w:rFonts w:ascii="Times New Roman" w:eastAsia="Calibri" w:hAnsi="Times New Roman" w:cs="Times New Roman"/>
                <w:color w:val="000000"/>
                <w:spacing w:val="-2"/>
              </w:rPr>
              <w:lastRenderedPageBreak/>
              <w:t>postępowania lub wprowadzenie nowych standardów”. Stosownie do ww. definicji „audytu klinicznego”, projektowane przepisy określają zakres audytów klinicznych zewnętrznych i wewnętrznych w sposób pozwalający na osiągnięcie celów stanowiących istotę audytów, tj. co do zasady poprawę jakości udzielanych świadczeń medycznych z wykorzystaniem promieniowania jonizującego. Przyjęte zakresy audytów klinicznych wewnętrznych i zewnętrznych zostały oparte na dotychczas obowiązujących przepisach rozdziału 8</w:t>
            </w:r>
            <w:r w:rsidR="00A57B9F">
              <w:rPr>
                <w:rFonts w:ascii="Times New Roman" w:eastAsia="Calibri" w:hAnsi="Times New Roman" w:cs="Times New Roman"/>
                <w:color w:val="000000"/>
                <w:spacing w:val="-2"/>
              </w:rPr>
              <w:t>.</w:t>
            </w:r>
            <w:r w:rsidRPr="00055E6A">
              <w:rPr>
                <w:rFonts w:ascii="Times New Roman" w:eastAsia="Calibri" w:hAnsi="Times New Roman" w:cs="Times New Roman"/>
                <w:color w:val="000000"/>
                <w:spacing w:val="-2"/>
              </w:rPr>
              <w:t xml:space="preserve"> rozporządzenia Ministra Zdrowia z dnia 18 lutego 2011 r. w sprawie warunków bezpiecznego stosowania promieniowania jonizującego dla wszystkich rodzajów ekspozycji medycznej. W pewnym zakresie w każdej z dziedzin, w której audyty kliniczne są przeprowadzane przedmioty audytów będą ze sobą zbieżne – każdorazowo przedmiotem audytu będzie bowiem ocena zgodności procedur szczegółowych z procedurami wzorcowymi, czy też ocena sposobu postępowania z podstawową dokumentacją medyczną. Różnice pomiędzy określonymi w projektowanym rozporządzeniu przedmiotami audytów będą jednak również zależne od specyfiki konkretnych dziedzin, w których audyty będą przeprowadzane.</w:t>
            </w:r>
            <w:r w:rsidR="00EA2326">
              <w:rPr>
                <w:rFonts w:ascii="Times New Roman" w:eastAsia="Calibri" w:hAnsi="Times New Roman" w:cs="Times New Roman"/>
                <w:color w:val="000000"/>
                <w:spacing w:val="-2"/>
              </w:rPr>
              <w:t xml:space="preserve"> Projekt</w:t>
            </w:r>
            <w:r w:rsidR="007B1EBC">
              <w:rPr>
                <w:rFonts w:ascii="Times New Roman" w:eastAsia="Calibri" w:hAnsi="Times New Roman" w:cs="Times New Roman"/>
                <w:color w:val="000000"/>
                <w:spacing w:val="-2"/>
              </w:rPr>
              <w:t>owane przepisy</w:t>
            </w:r>
            <w:r w:rsidR="003D626F">
              <w:rPr>
                <w:rFonts w:ascii="Times New Roman" w:eastAsia="Calibri" w:hAnsi="Times New Roman" w:cs="Times New Roman"/>
                <w:color w:val="000000"/>
                <w:spacing w:val="-2"/>
              </w:rPr>
              <w:t xml:space="preserve"> określa</w:t>
            </w:r>
            <w:r w:rsidR="007B1EBC">
              <w:rPr>
                <w:rFonts w:ascii="Times New Roman" w:eastAsia="Calibri" w:hAnsi="Times New Roman" w:cs="Times New Roman"/>
                <w:color w:val="000000"/>
                <w:spacing w:val="-2"/>
              </w:rPr>
              <w:t>ją</w:t>
            </w:r>
            <w:r w:rsidR="003D626F">
              <w:rPr>
                <w:rFonts w:ascii="Times New Roman" w:eastAsia="Calibri" w:hAnsi="Times New Roman" w:cs="Times New Roman"/>
                <w:color w:val="000000"/>
                <w:spacing w:val="-2"/>
              </w:rPr>
              <w:t xml:space="preserve"> ponadto </w:t>
            </w:r>
            <w:r w:rsidR="00EA2326">
              <w:rPr>
                <w:rFonts w:ascii="Times New Roman" w:eastAsia="Calibri" w:hAnsi="Times New Roman" w:cs="Times New Roman"/>
                <w:color w:val="000000"/>
                <w:spacing w:val="-2"/>
              </w:rPr>
              <w:t>wzory raportów</w:t>
            </w:r>
            <w:r w:rsidR="003D626F">
              <w:rPr>
                <w:rFonts w:ascii="Times New Roman" w:eastAsia="Calibri" w:hAnsi="Times New Roman" w:cs="Times New Roman"/>
                <w:color w:val="000000"/>
                <w:spacing w:val="-2"/>
              </w:rPr>
              <w:t xml:space="preserve"> z przeprowadzonych </w:t>
            </w:r>
            <w:r w:rsidR="00C95BA8">
              <w:rPr>
                <w:rFonts w:ascii="Times New Roman" w:eastAsia="Calibri" w:hAnsi="Times New Roman" w:cs="Times New Roman"/>
                <w:color w:val="000000"/>
                <w:spacing w:val="-2"/>
              </w:rPr>
              <w:t xml:space="preserve"> audytów klinicznych wewnętrznych </w:t>
            </w:r>
            <w:r w:rsidR="003D626F">
              <w:rPr>
                <w:rFonts w:ascii="Times New Roman" w:eastAsia="Calibri" w:hAnsi="Times New Roman" w:cs="Times New Roman"/>
                <w:color w:val="000000"/>
                <w:spacing w:val="-2"/>
              </w:rPr>
              <w:t xml:space="preserve">w poszczególnych zakresach, tj. w zakresie rentgenodiagnostyki, radioterapii oraz medycyny nuklearnej (załączniki nr 1–3), a także wzór raportu z audytu klinicznego zewnętrznego (załącznik nr 4). </w:t>
            </w:r>
          </w:p>
        </w:tc>
      </w:tr>
      <w:tr w:rsidR="00055E6A" w:rsidRPr="00055E6A" w14:paraId="6674D1B6" w14:textId="77777777" w:rsidTr="00997877">
        <w:trPr>
          <w:gridAfter w:val="1"/>
          <w:wAfter w:w="10" w:type="dxa"/>
          <w:trHeight w:val="307"/>
        </w:trPr>
        <w:tc>
          <w:tcPr>
            <w:tcW w:w="10937" w:type="dxa"/>
            <w:gridSpan w:val="29"/>
            <w:shd w:val="clear" w:color="auto" w:fill="99CCFF"/>
            <w:vAlign w:val="center"/>
          </w:tcPr>
          <w:p w14:paraId="4E6A7E1C" w14:textId="77777777" w:rsidR="00055E6A" w:rsidRPr="00055E6A" w:rsidRDefault="00055E6A" w:rsidP="00055E6A">
            <w:pPr>
              <w:widowControl w:val="0"/>
              <w:numPr>
                <w:ilvl w:val="0"/>
                <w:numId w:val="1"/>
              </w:numPr>
              <w:suppressAutoHyphens/>
              <w:spacing w:before="60" w:after="60" w:line="240" w:lineRule="auto"/>
              <w:ind w:left="318" w:hanging="284"/>
              <w:jc w:val="both"/>
              <w:rPr>
                <w:rFonts w:ascii="Times New Roman" w:eastAsia="Calibri" w:hAnsi="Times New Roman" w:cs="Times New Roman"/>
                <w:b/>
                <w:color w:val="000000"/>
              </w:rPr>
            </w:pPr>
            <w:r w:rsidRPr="00055E6A">
              <w:rPr>
                <w:rFonts w:ascii="Times New Roman" w:eastAsia="Calibri" w:hAnsi="Times New Roman" w:cs="Times New Roman"/>
                <w:b/>
                <w:spacing w:val="-2"/>
              </w:rPr>
              <w:lastRenderedPageBreak/>
              <w:t>Jak problem został rozwiązany w innych krajach, w szczególności krajach członkowskich OECD/UE</w:t>
            </w:r>
            <w:r w:rsidRPr="00055E6A">
              <w:rPr>
                <w:rFonts w:ascii="Times New Roman" w:eastAsia="Calibri" w:hAnsi="Times New Roman" w:cs="Times New Roman"/>
                <w:b/>
                <w:color w:val="000000"/>
              </w:rPr>
              <w:t>?</w:t>
            </w:r>
            <w:r w:rsidRPr="00055E6A">
              <w:rPr>
                <w:rFonts w:ascii="Times New Roman" w:eastAsia="Calibri" w:hAnsi="Times New Roman" w:cs="Times New Roman"/>
                <w:i/>
                <w:color w:val="000000"/>
              </w:rPr>
              <w:t xml:space="preserve"> </w:t>
            </w:r>
          </w:p>
        </w:tc>
      </w:tr>
      <w:tr w:rsidR="00055E6A" w:rsidRPr="00055E6A" w14:paraId="12155AE3" w14:textId="77777777" w:rsidTr="00997877">
        <w:trPr>
          <w:gridAfter w:val="1"/>
          <w:wAfter w:w="10" w:type="dxa"/>
          <w:trHeight w:val="142"/>
        </w:trPr>
        <w:tc>
          <w:tcPr>
            <w:tcW w:w="10937" w:type="dxa"/>
            <w:gridSpan w:val="29"/>
            <w:shd w:val="clear" w:color="auto" w:fill="auto"/>
          </w:tcPr>
          <w:p w14:paraId="2A9E0F48" w14:textId="7060F677" w:rsidR="00055E6A" w:rsidRPr="00055E6A" w:rsidRDefault="008D5DD5" w:rsidP="00055E6A">
            <w:pPr>
              <w:spacing w:after="0" w:line="240" w:lineRule="auto"/>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WIELKA BRYTANIA</w:t>
            </w:r>
          </w:p>
          <w:p w14:paraId="0CBD00AC" w14:textId="77777777" w:rsidR="00055E6A" w:rsidRPr="00055E6A" w:rsidRDefault="00055E6A" w:rsidP="00055E6A">
            <w:pPr>
              <w:spacing w:after="0" w:line="240" w:lineRule="auto"/>
              <w:jc w:val="both"/>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 xml:space="preserve">W Anglii audyty kliniczne przeprowadzane są w obrębie każdego działu radiologii we współpracy z Królewskim Towarzystwem Radiologów (RCR), które za pośrednictwem strony internetowej udostępnia szablony różnych zakresów audytów klinicznych zawierające metodologię i rekomendacje dotyczące przeprowadzenia audytu, w tym formularze zapisu danych uzyskanych podczas audytu. Zasady przeprowadzania audytów klinicznych określone zostały w przewodnikach krajowych. The Healthcare </w:t>
            </w:r>
            <w:proofErr w:type="spellStart"/>
            <w:r w:rsidRPr="00055E6A">
              <w:rPr>
                <w:rFonts w:ascii="Times New Roman" w:eastAsia="Calibri" w:hAnsi="Times New Roman" w:cs="Times New Roman"/>
                <w:color w:val="000000"/>
                <w:spacing w:val="-2"/>
              </w:rPr>
              <w:t>Quality</w:t>
            </w:r>
            <w:proofErr w:type="spellEnd"/>
            <w:r w:rsidRPr="00055E6A">
              <w:rPr>
                <w:rFonts w:ascii="Times New Roman" w:eastAsia="Calibri" w:hAnsi="Times New Roman" w:cs="Times New Roman"/>
                <w:color w:val="000000"/>
                <w:spacing w:val="-2"/>
              </w:rPr>
              <w:t xml:space="preserve"> </w:t>
            </w:r>
            <w:proofErr w:type="spellStart"/>
            <w:r w:rsidRPr="00055E6A">
              <w:rPr>
                <w:rFonts w:ascii="Times New Roman" w:eastAsia="Calibri" w:hAnsi="Times New Roman" w:cs="Times New Roman"/>
                <w:color w:val="000000"/>
                <w:spacing w:val="-2"/>
              </w:rPr>
              <w:t>Improvement</w:t>
            </w:r>
            <w:proofErr w:type="spellEnd"/>
            <w:r w:rsidRPr="00055E6A">
              <w:rPr>
                <w:rFonts w:ascii="Times New Roman" w:eastAsia="Calibri" w:hAnsi="Times New Roman" w:cs="Times New Roman"/>
                <w:color w:val="000000"/>
                <w:spacing w:val="-2"/>
              </w:rPr>
              <w:t xml:space="preserve"> </w:t>
            </w:r>
            <w:proofErr w:type="spellStart"/>
            <w:r w:rsidRPr="00055E6A">
              <w:rPr>
                <w:rFonts w:ascii="Times New Roman" w:eastAsia="Calibri" w:hAnsi="Times New Roman" w:cs="Times New Roman"/>
                <w:color w:val="000000"/>
                <w:spacing w:val="-2"/>
              </w:rPr>
              <w:t>Partnership</w:t>
            </w:r>
            <w:proofErr w:type="spellEnd"/>
            <w:r w:rsidRPr="00055E6A">
              <w:rPr>
                <w:rFonts w:ascii="Times New Roman" w:eastAsia="Calibri" w:hAnsi="Times New Roman" w:cs="Times New Roman"/>
                <w:color w:val="000000"/>
                <w:spacing w:val="-2"/>
              </w:rPr>
              <w:t xml:space="preserve"> (HQIP) dostarcza obszernych wskazówek i zasobów do przeprowadzenia skutecznego audytu, w tym został opublikowany przewodnik dotyczący wykorzystania narzędzi poprawy jakości w prowadzeniu audytów klinicznych oraz dokument zawierający najlepsze praktyki w zakresie audytu klinicznego. HQIP opublikowało również przykładową listę kontrolną do wykorzystania podczas audytu klinicznego, która podzielona jest na cztery etapy audyty (przygotowanie i planowanie, wykonanie pomiaru, wdrażanie zmian, utrzymanie poprawy) i uwzględnia kryteria najlepszej praktyki, pytania na które należy odpowiedzieć oraz miejsce na wpisanie odpowiedzi (w tym dowodów potwierdzających) i określenie działań wymaganych w celu poprawy praktyki.</w:t>
            </w:r>
          </w:p>
          <w:p w14:paraId="49CF6CD9" w14:textId="77777777" w:rsidR="00055E6A" w:rsidRPr="00055E6A" w:rsidRDefault="00055E6A" w:rsidP="00055E6A">
            <w:pPr>
              <w:spacing w:after="0" w:line="240" w:lineRule="auto"/>
              <w:jc w:val="both"/>
              <w:rPr>
                <w:rFonts w:ascii="Times New Roman" w:eastAsia="Calibri" w:hAnsi="Times New Roman" w:cs="Times New Roman"/>
                <w:color w:val="000000"/>
                <w:spacing w:val="-2"/>
              </w:rPr>
            </w:pPr>
          </w:p>
          <w:p w14:paraId="358F9AAC" w14:textId="77777777" w:rsidR="00055E6A" w:rsidRPr="00055E6A" w:rsidRDefault="00055E6A" w:rsidP="00055E6A">
            <w:pPr>
              <w:spacing w:after="0" w:line="240" w:lineRule="auto"/>
              <w:jc w:val="both"/>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FRANCJA</w:t>
            </w:r>
          </w:p>
          <w:p w14:paraId="612D8A28" w14:textId="77777777" w:rsidR="00055E6A" w:rsidRPr="00055E6A" w:rsidRDefault="00055E6A" w:rsidP="00055E6A">
            <w:pPr>
              <w:spacing w:after="0" w:line="240" w:lineRule="auto"/>
              <w:jc w:val="both"/>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We Francji repozytorium do organizacji audytów klinicznych stanowi „Przewodnik właściwego wykorzystania medycznych badań obrazowych” opublikowany przez francuskie Towarzystwo Radiologii (SFR) we współpracy z francuskim Towarzystwem Medycyny Nuklearnej i Biofizyki (SFBMN). Zasady przeprowadzania audytów klinicznych zostały określone przez Narodową Agencję Akredytacji i Oceny Zdrowia (ANAES) w udostępnionych na stronie internetowej wytycznych dotyczących oceny praktyk zawodowych w placówkach służby zdrowia oraz udanego audytu klinicznego. Zgodnie z tymi wytycznymi protokół z audytu klinicznego powinien zawierać: zakres audytu, kryteriów oceny, rodzaj badań, sposoby gromadzenia danych, okres oceny, harmonogram prac, prezentację wyników oraz analizę przyczyn odchyleń i propozycji dotyczących planu działań doskonalących.</w:t>
            </w:r>
          </w:p>
          <w:p w14:paraId="2B19F9EC" w14:textId="77777777" w:rsidR="00055E6A" w:rsidRPr="00055E6A" w:rsidRDefault="00055E6A" w:rsidP="00055E6A">
            <w:pPr>
              <w:spacing w:after="0" w:line="240" w:lineRule="auto"/>
              <w:jc w:val="both"/>
              <w:rPr>
                <w:rFonts w:ascii="Times New Roman" w:eastAsia="Calibri" w:hAnsi="Times New Roman" w:cs="Times New Roman"/>
                <w:color w:val="000000"/>
                <w:spacing w:val="-2"/>
              </w:rPr>
            </w:pPr>
          </w:p>
          <w:p w14:paraId="1E95A0F6" w14:textId="77777777" w:rsidR="00055E6A" w:rsidRPr="00055E6A" w:rsidRDefault="00055E6A" w:rsidP="00055E6A">
            <w:pPr>
              <w:spacing w:after="0" w:line="240" w:lineRule="auto"/>
              <w:jc w:val="both"/>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SZWAJCARIA</w:t>
            </w:r>
          </w:p>
          <w:p w14:paraId="6D4CC91E" w14:textId="78D845DB" w:rsidR="00055E6A" w:rsidRPr="00055E6A" w:rsidRDefault="00055E6A" w:rsidP="00055E6A">
            <w:pPr>
              <w:spacing w:after="0" w:line="240" w:lineRule="auto"/>
              <w:jc w:val="both"/>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W Szwajcarii zgodnie z rozporządzeniem o ochronie przed promieniowaniem jonizującym (</w:t>
            </w:r>
            <w:proofErr w:type="spellStart"/>
            <w:r w:rsidRPr="00055E6A">
              <w:rPr>
                <w:rFonts w:ascii="Times New Roman" w:eastAsia="Calibri" w:hAnsi="Times New Roman" w:cs="Times New Roman"/>
                <w:color w:val="000000"/>
                <w:spacing w:val="-2"/>
              </w:rPr>
              <w:t>Strahlenschutzverordnung</w:t>
            </w:r>
            <w:proofErr w:type="spellEnd"/>
            <w:r w:rsidRPr="00055E6A">
              <w:rPr>
                <w:rFonts w:ascii="Times New Roman" w:eastAsia="Calibri" w:hAnsi="Times New Roman" w:cs="Times New Roman"/>
                <w:color w:val="000000"/>
                <w:spacing w:val="-2"/>
              </w:rPr>
              <w:t>) przyjętym przez Szwajcarską Radę Federalną w dniu 26</w:t>
            </w:r>
            <w:r w:rsidR="00A57B9F">
              <w:rPr>
                <w:rFonts w:ascii="Times New Roman" w:eastAsia="Calibri" w:hAnsi="Times New Roman" w:cs="Times New Roman"/>
                <w:color w:val="000000"/>
                <w:spacing w:val="-2"/>
              </w:rPr>
              <w:t xml:space="preserve"> kwietnia </w:t>
            </w:r>
            <w:r w:rsidRPr="00055E6A">
              <w:rPr>
                <w:rFonts w:ascii="Times New Roman" w:eastAsia="Calibri" w:hAnsi="Times New Roman" w:cs="Times New Roman"/>
                <w:color w:val="000000"/>
                <w:spacing w:val="-2"/>
              </w:rPr>
              <w:t>2017</w:t>
            </w:r>
            <w:r w:rsidR="00A57B9F">
              <w:rPr>
                <w:rFonts w:ascii="Times New Roman" w:eastAsia="Calibri" w:hAnsi="Times New Roman" w:cs="Times New Roman"/>
                <w:color w:val="000000"/>
                <w:spacing w:val="-2"/>
              </w:rPr>
              <w:t xml:space="preserve"> r.</w:t>
            </w:r>
            <w:r w:rsidRPr="00055E6A">
              <w:rPr>
                <w:rFonts w:ascii="Times New Roman" w:eastAsia="Calibri" w:hAnsi="Times New Roman" w:cs="Times New Roman"/>
                <w:color w:val="000000"/>
                <w:spacing w:val="-2"/>
              </w:rPr>
              <w:t xml:space="preserve"> nacisk kładzie się na audyty kliniczne w: tomografii komputerowej, medycynie nuklearnej, radioterapii oraz fluoroskopii (procedury diagnostyczne i terapeutyczne). Zakres audytu klinicznego powinien obejmować sprawdzenie: roli i odpowiedzialności personelu, urządzeń stosowanych do badania i leczenia, szkoleń personelu, uzasadnień wykonywanych badań, procedur dotyczących badania i leczenia, dokumentacji dawki promieniowania, przechowywania i przesyłu danych, zapewnienia jakości oraz samooceny. Rozporządzenie nie określa wzoru raportu z audytu.</w:t>
            </w:r>
          </w:p>
          <w:p w14:paraId="35CC763D" w14:textId="77777777" w:rsidR="00055E6A" w:rsidRPr="00055E6A" w:rsidRDefault="00055E6A" w:rsidP="00055E6A">
            <w:pPr>
              <w:spacing w:after="0" w:line="240" w:lineRule="auto"/>
              <w:jc w:val="both"/>
              <w:rPr>
                <w:rFonts w:ascii="Times New Roman" w:eastAsia="Calibri" w:hAnsi="Times New Roman" w:cs="Times New Roman"/>
                <w:color w:val="000000"/>
                <w:spacing w:val="-2"/>
              </w:rPr>
            </w:pPr>
          </w:p>
          <w:p w14:paraId="7FE0E330" w14:textId="77777777" w:rsidR="00055E6A" w:rsidRPr="00055E6A" w:rsidRDefault="00055E6A" w:rsidP="00055E6A">
            <w:pPr>
              <w:spacing w:after="0" w:line="240" w:lineRule="auto"/>
              <w:jc w:val="both"/>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NIEMCY</w:t>
            </w:r>
          </w:p>
          <w:p w14:paraId="3E34FE87" w14:textId="14CF2A14" w:rsidR="00055E6A" w:rsidRPr="00055E6A" w:rsidRDefault="00055E6A" w:rsidP="00055E6A">
            <w:pPr>
              <w:spacing w:after="0" w:line="240" w:lineRule="auto"/>
              <w:jc w:val="both"/>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Kontrole kliniczne</w:t>
            </w:r>
            <w:r w:rsidR="00A57B9F">
              <w:rPr>
                <w:rFonts w:ascii="Times New Roman" w:eastAsia="Calibri" w:hAnsi="Times New Roman" w:cs="Times New Roman"/>
                <w:color w:val="000000"/>
                <w:spacing w:val="-2"/>
              </w:rPr>
              <w:t xml:space="preserve"> lub </w:t>
            </w:r>
            <w:r w:rsidRPr="00055E6A">
              <w:rPr>
                <w:rFonts w:ascii="Times New Roman" w:eastAsia="Calibri" w:hAnsi="Times New Roman" w:cs="Times New Roman"/>
                <w:color w:val="000000"/>
                <w:spacing w:val="-2"/>
              </w:rPr>
              <w:t>audyt kliniczny odbywają się na podstawie analizy dokumentacji przesłanej elektronicznie z danej jednostki ochrony zdrowia. W razie potrzeby kontrole</w:t>
            </w:r>
            <w:r w:rsidR="004B4D39">
              <w:rPr>
                <w:rFonts w:ascii="Times New Roman" w:eastAsia="Calibri" w:hAnsi="Times New Roman" w:cs="Times New Roman"/>
                <w:color w:val="000000"/>
                <w:spacing w:val="-2"/>
              </w:rPr>
              <w:t xml:space="preserve"> i </w:t>
            </w:r>
            <w:r w:rsidRPr="00055E6A">
              <w:rPr>
                <w:rFonts w:ascii="Times New Roman" w:eastAsia="Calibri" w:hAnsi="Times New Roman" w:cs="Times New Roman"/>
                <w:color w:val="000000"/>
                <w:spacing w:val="-2"/>
              </w:rPr>
              <w:t>audyty mogą być również przeprowadzane na miejscu. Kontrolę</w:t>
            </w:r>
            <w:r w:rsidR="00A57B9F">
              <w:rPr>
                <w:rFonts w:ascii="Times New Roman" w:eastAsia="Calibri" w:hAnsi="Times New Roman" w:cs="Times New Roman"/>
                <w:color w:val="000000"/>
                <w:spacing w:val="-2"/>
              </w:rPr>
              <w:t xml:space="preserve"> lub </w:t>
            </w:r>
            <w:r w:rsidR="00A57B9F" w:rsidRPr="00055E6A">
              <w:rPr>
                <w:rFonts w:ascii="Times New Roman" w:eastAsia="Calibri" w:hAnsi="Times New Roman" w:cs="Times New Roman"/>
                <w:color w:val="000000"/>
                <w:spacing w:val="-2"/>
              </w:rPr>
              <w:t xml:space="preserve"> </w:t>
            </w:r>
            <w:r w:rsidRPr="00055E6A">
              <w:rPr>
                <w:rFonts w:ascii="Times New Roman" w:eastAsia="Calibri" w:hAnsi="Times New Roman" w:cs="Times New Roman"/>
                <w:color w:val="000000"/>
                <w:spacing w:val="-2"/>
              </w:rPr>
              <w:t>audyty instrukcji roboczych (nazywane jako radiologiczne procedury robocze) przeprowadza się w oparciu o „Wytyczne w sprawie dokumentacji według Rozporządzenia rentgenowskiego”, na podstawie której sprawdza się, czy instrukcje robocze zawierają elementy przez nią wymagane.</w:t>
            </w:r>
          </w:p>
        </w:tc>
      </w:tr>
      <w:tr w:rsidR="00055E6A" w:rsidRPr="00055E6A" w14:paraId="054FC253" w14:textId="77777777" w:rsidTr="00997877">
        <w:trPr>
          <w:gridAfter w:val="1"/>
          <w:wAfter w:w="10" w:type="dxa"/>
          <w:trHeight w:val="359"/>
        </w:trPr>
        <w:tc>
          <w:tcPr>
            <w:tcW w:w="10937" w:type="dxa"/>
            <w:gridSpan w:val="29"/>
            <w:shd w:val="clear" w:color="auto" w:fill="99CCFF"/>
            <w:vAlign w:val="center"/>
          </w:tcPr>
          <w:p w14:paraId="584C61C6" w14:textId="77777777" w:rsidR="00055E6A" w:rsidRPr="00055E6A" w:rsidRDefault="00055E6A" w:rsidP="00055E6A">
            <w:pPr>
              <w:widowControl w:val="0"/>
              <w:numPr>
                <w:ilvl w:val="0"/>
                <w:numId w:val="1"/>
              </w:numPr>
              <w:suppressAutoHyphens/>
              <w:spacing w:before="60" w:after="60" w:line="240" w:lineRule="auto"/>
              <w:ind w:left="318" w:hanging="284"/>
              <w:jc w:val="both"/>
              <w:rPr>
                <w:rFonts w:ascii="Times New Roman" w:eastAsia="Calibri" w:hAnsi="Times New Roman" w:cs="Times New Roman"/>
                <w:b/>
                <w:color w:val="000000"/>
              </w:rPr>
            </w:pPr>
            <w:r w:rsidRPr="00055E6A">
              <w:rPr>
                <w:rFonts w:ascii="Times New Roman" w:eastAsia="Calibri" w:hAnsi="Times New Roman" w:cs="Times New Roman"/>
                <w:b/>
                <w:color w:val="000000"/>
              </w:rPr>
              <w:t>Podmioty, na które oddziałuje projekt</w:t>
            </w:r>
          </w:p>
        </w:tc>
      </w:tr>
      <w:tr w:rsidR="00055E6A" w:rsidRPr="00055E6A" w14:paraId="0FC21FC4" w14:textId="77777777" w:rsidTr="00997877">
        <w:trPr>
          <w:gridAfter w:val="1"/>
          <w:wAfter w:w="10" w:type="dxa"/>
          <w:trHeight w:val="142"/>
        </w:trPr>
        <w:tc>
          <w:tcPr>
            <w:tcW w:w="2668" w:type="dxa"/>
            <w:gridSpan w:val="3"/>
            <w:shd w:val="clear" w:color="auto" w:fill="auto"/>
          </w:tcPr>
          <w:p w14:paraId="5FDE9203" w14:textId="77777777" w:rsidR="00055E6A" w:rsidRPr="00055E6A" w:rsidRDefault="00055E6A" w:rsidP="00055E6A">
            <w:pPr>
              <w:spacing w:before="40" w:after="0" w:line="240" w:lineRule="auto"/>
              <w:jc w:val="center"/>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Grupa</w:t>
            </w:r>
          </w:p>
        </w:tc>
        <w:tc>
          <w:tcPr>
            <w:tcW w:w="2292" w:type="dxa"/>
            <w:gridSpan w:val="8"/>
            <w:shd w:val="clear" w:color="auto" w:fill="auto"/>
          </w:tcPr>
          <w:p w14:paraId="78946F34" w14:textId="77777777" w:rsidR="00055E6A" w:rsidRPr="00055E6A" w:rsidRDefault="00055E6A" w:rsidP="00055E6A">
            <w:pPr>
              <w:spacing w:before="40" w:after="0" w:line="240" w:lineRule="auto"/>
              <w:jc w:val="center"/>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Wielkość</w:t>
            </w:r>
          </w:p>
        </w:tc>
        <w:tc>
          <w:tcPr>
            <w:tcW w:w="2996" w:type="dxa"/>
            <w:gridSpan w:val="12"/>
            <w:shd w:val="clear" w:color="auto" w:fill="auto"/>
          </w:tcPr>
          <w:p w14:paraId="717B103B" w14:textId="77777777" w:rsidR="00055E6A" w:rsidRPr="00055E6A" w:rsidRDefault="00055E6A" w:rsidP="00055E6A">
            <w:pPr>
              <w:spacing w:before="40" w:after="0" w:line="240" w:lineRule="auto"/>
              <w:jc w:val="center"/>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Źródło danych</w:t>
            </w:r>
            <w:r w:rsidRPr="00055E6A" w:rsidDel="00260F33">
              <w:rPr>
                <w:rFonts w:ascii="Times New Roman" w:eastAsia="Calibri" w:hAnsi="Times New Roman" w:cs="Times New Roman"/>
                <w:color w:val="000000"/>
                <w:spacing w:val="-2"/>
              </w:rPr>
              <w:t xml:space="preserve"> </w:t>
            </w:r>
          </w:p>
        </w:tc>
        <w:tc>
          <w:tcPr>
            <w:tcW w:w="2981" w:type="dxa"/>
            <w:gridSpan w:val="6"/>
            <w:shd w:val="clear" w:color="auto" w:fill="auto"/>
          </w:tcPr>
          <w:p w14:paraId="192A8878" w14:textId="77777777" w:rsidR="00055E6A" w:rsidRPr="00055E6A" w:rsidRDefault="00055E6A" w:rsidP="00055E6A">
            <w:pPr>
              <w:spacing w:before="40" w:after="0" w:line="240" w:lineRule="auto"/>
              <w:jc w:val="center"/>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Oddziaływanie</w:t>
            </w:r>
          </w:p>
        </w:tc>
      </w:tr>
      <w:tr w:rsidR="00055E6A" w:rsidRPr="00055E6A" w14:paraId="0B8ED9D2" w14:textId="77777777" w:rsidTr="00997877">
        <w:trPr>
          <w:gridAfter w:val="1"/>
          <w:wAfter w:w="10" w:type="dxa"/>
          <w:trHeight w:val="142"/>
        </w:trPr>
        <w:tc>
          <w:tcPr>
            <w:tcW w:w="2668" w:type="dxa"/>
            <w:gridSpan w:val="3"/>
            <w:shd w:val="clear" w:color="auto" w:fill="auto"/>
          </w:tcPr>
          <w:p w14:paraId="25495036" w14:textId="77777777" w:rsidR="00055E6A" w:rsidRPr="00055E6A" w:rsidRDefault="00055E6A" w:rsidP="00055E6A">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rPr>
              <w:t>Jednostki ochrony zdrowia stosujące promieniowanie jonizujące</w:t>
            </w:r>
          </w:p>
        </w:tc>
        <w:tc>
          <w:tcPr>
            <w:tcW w:w="2292" w:type="dxa"/>
            <w:gridSpan w:val="8"/>
            <w:shd w:val="clear" w:color="auto" w:fill="auto"/>
          </w:tcPr>
          <w:p w14:paraId="0896EF54" w14:textId="77777777" w:rsidR="00055E6A" w:rsidRPr="00055E6A" w:rsidRDefault="00055E6A" w:rsidP="00055E6A">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Ok. 25 tys.</w:t>
            </w:r>
          </w:p>
        </w:tc>
        <w:tc>
          <w:tcPr>
            <w:tcW w:w="2996" w:type="dxa"/>
            <w:gridSpan w:val="12"/>
            <w:shd w:val="clear" w:color="auto" w:fill="auto"/>
          </w:tcPr>
          <w:p w14:paraId="2168167A" w14:textId="77777777" w:rsidR="00055E6A" w:rsidRPr="00055E6A" w:rsidRDefault="00055E6A" w:rsidP="00055E6A">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Dane Krajowego Centrum Ochrony Radiologicznej w Ochronie Zdrowia</w:t>
            </w:r>
          </w:p>
        </w:tc>
        <w:tc>
          <w:tcPr>
            <w:tcW w:w="2981" w:type="dxa"/>
            <w:gridSpan w:val="6"/>
            <w:shd w:val="clear" w:color="auto" w:fill="auto"/>
          </w:tcPr>
          <w:p w14:paraId="3132F933" w14:textId="77777777" w:rsidR="00055E6A" w:rsidRPr="00055E6A" w:rsidRDefault="00055E6A" w:rsidP="00055E6A">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 xml:space="preserve">Konieczność uwzględnienia wyznaczonego przez projektowane rozporządzenie zakresu audytów klinicznych przy przeprowadzeniu i </w:t>
            </w:r>
            <w:r w:rsidRPr="00055E6A">
              <w:rPr>
                <w:rFonts w:ascii="Times New Roman" w:eastAsia="Calibri" w:hAnsi="Times New Roman" w:cs="Times New Roman"/>
                <w:color w:val="000000"/>
                <w:spacing w:val="-2"/>
              </w:rPr>
              <w:lastRenderedPageBreak/>
              <w:t>raportowaniu audytów klinicznych wewnętrznych</w:t>
            </w:r>
          </w:p>
        </w:tc>
      </w:tr>
      <w:tr w:rsidR="00055E6A" w:rsidRPr="00055E6A" w14:paraId="668BA43A" w14:textId="77777777" w:rsidTr="00997877">
        <w:trPr>
          <w:gridAfter w:val="1"/>
          <w:wAfter w:w="10" w:type="dxa"/>
          <w:trHeight w:val="142"/>
        </w:trPr>
        <w:tc>
          <w:tcPr>
            <w:tcW w:w="2668" w:type="dxa"/>
            <w:gridSpan w:val="3"/>
            <w:shd w:val="clear" w:color="auto" w:fill="auto"/>
          </w:tcPr>
          <w:p w14:paraId="0246FAED" w14:textId="77777777" w:rsidR="00055E6A" w:rsidRPr="00055E6A" w:rsidRDefault="00055E6A" w:rsidP="00055E6A">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rPr>
              <w:lastRenderedPageBreak/>
              <w:t>Komisje ds. procedur i audytów klinicznych zewnętrznych</w:t>
            </w:r>
          </w:p>
        </w:tc>
        <w:tc>
          <w:tcPr>
            <w:tcW w:w="2292" w:type="dxa"/>
            <w:gridSpan w:val="8"/>
            <w:shd w:val="clear" w:color="auto" w:fill="auto"/>
          </w:tcPr>
          <w:p w14:paraId="7814FAF6" w14:textId="77777777" w:rsidR="00055E6A" w:rsidRPr="00055E6A" w:rsidRDefault="00055E6A" w:rsidP="00055E6A">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3</w:t>
            </w:r>
          </w:p>
        </w:tc>
        <w:tc>
          <w:tcPr>
            <w:tcW w:w="2996" w:type="dxa"/>
            <w:gridSpan w:val="12"/>
            <w:shd w:val="clear" w:color="auto" w:fill="auto"/>
          </w:tcPr>
          <w:p w14:paraId="57EC974B" w14:textId="5095D4BE" w:rsidR="00055E6A" w:rsidRPr="00055E6A" w:rsidRDefault="00055E6A" w:rsidP="00055E6A">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 xml:space="preserve">Ustawa z dnia 29 listopada 2000 r.  – Prawo atomowe </w:t>
            </w:r>
          </w:p>
        </w:tc>
        <w:tc>
          <w:tcPr>
            <w:tcW w:w="2981" w:type="dxa"/>
            <w:gridSpan w:val="6"/>
            <w:shd w:val="clear" w:color="auto" w:fill="auto"/>
          </w:tcPr>
          <w:p w14:paraId="2A75069E" w14:textId="77777777" w:rsidR="00055E6A" w:rsidRPr="00055E6A" w:rsidRDefault="00055E6A" w:rsidP="00055E6A">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Konieczność uwzględnienia wyznaczonego przez projektowane rozporządzenie zakresu audytów klinicznych przy przeprowadzeniu i raportowaniu audytów klinicznych zewnętrznych</w:t>
            </w:r>
          </w:p>
        </w:tc>
      </w:tr>
      <w:tr w:rsidR="00055E6A" w:rsidRPr="00055E6A" w14:paraId="6BE6D6A8" w14:textId="77777777" w:rsidTr="00997877">
        <w:trPr>
          <w:gridAfter w:val="1"/>
          <w:wAfter w:w="10" w:type="dxa"/>
          <w:trHeight w:val="302"/>
        </w:trPr>
        <w:tc>
          <w:tcPr>
            <w:tcW w:w="10937" w:type="dxa"/>
            <w:gridSpan w:val="29"/>
            <w:shd w:val="clear" w:color="auto" w:fill="99CCFF"/>
            <w:vAlign w:val="center"/>
          </w:tcPr>
          <w:p w14:paraId="0BCDA95C" w14:textId="77777777" w:rsidR="00055E6A" w:rsidRPr="00055E6A" w:rsidRDefault="00055E6A" w:rsidP="00055E6A">
            <w:pPr>
              <w:widowControl w:val="0"/>
              <w:numPr>
                <w:ilvl w:val="0"/>
                <w:numId w:val="1"/>
              </w:numPr>
              <w:suppressAutoHyphens/>
              <w:spacing w:before="60" w:after="60" w:line="240" w:lineRule="auto"/>
              <w:ind w:left="318" w:hanging="284"/>
              <w:jc w:val="both"/>
              <w:rPr>
                <w:rFonts w:ascii="Times New Roman" w:eastAsia="Calibri" w:hAnsi="Times New Roman" w:cs="Times New Roman"/>
                <w:b/>
                <w:color w:val="000000"/>
              </w:rPr>
            </w:pPr>
            <w:r w:rsidRPr="00055E6A">
              <w:rPr>
                <w:rFonts w:ascii="Times New Roman" w:eastAsia="Calibri" w:hAnsi="Times New Roman" w:cs="Times New Roman"/>
                <w:b/>
                <w:color w:val="000000"/>
              </w:rPr>
              <w:t>Informacje na temat zakresu, czasu trwania i podsumowanie wyników konsultacji</w:t>
            </w:r>
          </w:p>
        </w:tc>
      </w:tr>
      <w:tr w:rsidR="00164109" w:rsidRPr="00055E6A" w14:paraId="5C0C4B85" w14:textId="77777777" w:rsidTr="00997877">
        <w:trPr>
          <w:gridAfter w:val="1"/>
          <w:wAfter w:w="10" w:type="dxa"/>
          <w:trHeight w:val="342"/>
        </w:trPr>
        <w:tc>
          <w:tcPr>
            <w:tcW w:w="10937" w:type="dxa"/>
            <w:gridSpan w:val="29"/>
            <w:shd w:val="clear" w:color="auto" w:fill="FFFFFF"/>
          </w:tcPr>
          <w:p w14:paraId="3AF037F2" w14:textId="77777777" w:rsidR="00164109" w:rsidRDefault="00164109" w:rsidP="00164109">
            <w:pPr>
              <w:spacing w:after="0" w:line="240" w:lineRule="auto"/>
              <w:jc w:val="both"/>
              <w:rPr>
                <w:rFonts w:ascii="Times New Roman" w:eastAsia="Times New Roman" w:hAnsi="Times New Roman" w:cs="Times New Roman"/>
                <w:color w:val="000000"/>
                <w:spacing w:val="-2"/>
                <w:lang w:eastAsia="pl-PL"/>
              </w:rPr>
            </w:pPr>
            <w:r w:rsidRPr="00A477DB">
              <w:rPr>
                <w:rFonts w:ascii="Times New Roman" w:eastAsia="Times New Roman" w:hAnsi="Times New Roman" w:cs="Times New Roman"/>
                <w:color w:val="000000"/>
                <w:spacing w:val="-2"/>
                <w:lang w:eastAsia="pl-PL"/>
              </w:rPr>
              <w:t xml:space="preserve">Projekt rozporządzenia nie był przedmiotem </w:t>
            </w:r>
            <w:proofErr w:type="spellStart"/>
            <w:r w:rsidRPr="00A477DB">
              <w:rPr>
                <w:rFonts w:ascii="Times New Roman" w:eastAsia="Times New Roman" w:hAnsi="Times New Roman" w:cs="Times New Roman"/>
                <w:color w:val="000000"/>
                <w:spacing w:val="-2"/>
                <w:lang w:eastAsia="pl-PL"/>
              </w:rPr>
              <w:t>pre</w:t>
            </w:r>
            <w:proofErr w:type="spellEnd"/>
            <w:r w:rsidRPr="00A477DB">
              <w:rPr>
                <w:rFonts w:ascii="Times New Roman" w:eastAsia="Times New Roman" w:hAnsi="Times New Roman" w:cs="Times New Roman"/>
                <w:color w:val="000000"/>
                <w:spacing w:val="-2"/>
                <w:lang w:eastAsia="pl-PL"/>
              </w:rPr>
              <w:t>-konsultacji publicznych.</w:t>
            </w:r>
          </w:p>
          <w:p w14:paraId="2C9F0AE5" w14:textId="17EF87D1" w:rsidR="00164109" w:rsidRPr="00394091" w:rsidRDefault="00164109" w:rsidP="00164109">
            <w:pPr>
              <w:spacing w:after="0" w:line="240" w:lineRule="auto"/>
              <w:jc w:val="both"/>
              <w:rPr>
                <w:rFonts w:ascii="Times New Roman" w:eastAsia="Times New Roman" w:hAnsi="Times New Roman" w:cs="Times New Roman"/>
                <w:color w:val="000000"/>
                <w:spacing w:val="-2"/>
                <w:lang w:eastAsia="pl-PL"/>
              </w:rPr>
            </w:pPr>
            <w:r w:rsidRPr="00394091">
              <w:rPr>
                <w:rFonts w:ascii="Times New Roman" w:eastAsia="Times New Roman" w:hAnsi="Times New Roman" w:cs="Times New Roman"/>
                <w:color w:val="000000"/>
                <w:spacing w:val="-2"/>
                <w:lang w:eastAsia="pl-PL"/>
              </w:rPr>
              <w:t>Projekt rozporządzenia zosta</w:t>
            </w:r>
            <w:r>
              <w:rPr>
                <w:rFonts w:ascii="Times New Roman" w:eastAsia="Times New Roman" w:hAnsi="Times New Roman" w:cs="Times New Roman"/>
                <w:color w:val="000000"/>
                <w:spacing w:val="-2"/>
                <w:lang w:eastAsia="pl-PL"/>
              </w:rPr>
              <w:t>ł</w:t>
            </w:r>
            <w:r w:rsidRPr="00394091">
              <w:rPr>
                <w:rFonts w:ascii="Times New Roman" w:eastAsia="Times New Roman" w:hAnsi="Times New Roman" w:cs="Times New Roman"/>
                <w:color w:val="000000"/>
                <w:spacing w:val="-2"/>
                <w:lang w:eastAsia="pl-PL"/>
              </w:rPr>
              <w:t xml:space="preserve"> przekazany na </w:t>
            </w:r>
            <w:r w:rsidR="00B7072D">
              <w:rPr>
                <w:rFonts w:ascii="Times New Roman" w:eastAsia="Times New Roman" w:hAnsi="Times New Roman" w:cs="Times New Roman"/>
                <w:color w:val="000000"/>
                <w:spacing w:val="-2"/>
                <w:lang w:eastAsia="pl-PL"/>
              </w:rPr>
              <w:t>21</w:t>
            </w:r>
            <w:r w:rsidRPr="00394091">
              <w:rPr>
                <w:rFonts w:ascii="Times New Roman" w:eastAsia="Times New Roman" w:hAnsi="Times New Roman" w:cs="Times New Roman"/>
                <w:color w:val="000000"/>
                <w:spacing w:val="-2"/>
                <w:lang w:eastAsia="pl-PL"/>
              </w:rPr>
              <w:t xml:space="preserve"> dni do konsultacji publicznych i opiniowania do</w:t>
            </w:r>
            <w:r>
              <w:rPr>
                <w:rFonts w:ascii="Times New Roman" w:eastAsia="Times New Roman" w:hAnsi="Times New Roman" w:cs="Times New Roman"/>
                <w:color w:val="000000"/>
                <w:spacing w:val="-2"/>
                <w:lang w:eastAsia="pl-PL"/>
              </w:rPr>
              <w:t> </w:t>
            </w:r>
            <w:r w:rsidRPr="00394091">
              <w:rPr>
                <w:rFonts w:ascii="Times New Roman" w:eastAsia="Times New Roman" w:hAnsi="Times New Roman" w:cs="Times New Roman"/>
                <w:color w:val="000000"/>
                <w:spacing w:val="-2"/>
                <w:lang w:eastAsia="pl-PL"/>
              </w:rPr>
              <w:t>następujących podmiotów:</w:t>
            </w:r>
          </w:p>
          <w:p w14:paraId="6C71ADB5"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Centralnego Instytutu Ochrony Pracy – Państwowego Instytutu Badawczego;</w:t>
            </w:r>
          </w:p>
          <w:p w14:paraId="6021F3A2"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Federacji Przedsiębiorców Polskich;</w:t>
            </w:r>
          </w:p>
          <w:p w14:paraId="118C89DC"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Federacji Związków Pracodawców Ochrony Zdrowia „Porozumienie Zielonogórskie”;</w:t>
            </w:r>
          </w:p>
          <w:p w14:paraId="57918800"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Federacji Związków Pracowników Ochrony Zdrowia;</w:t>
            </w:r>
          </w:p>
          <w:p w14:paraId="051B41FE"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Forum Związków Zawodowych;</w:t>
            </w:r>
          </w:p>
          <w:p w14:paraId="01BF6686"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Głównego Inspektora Pracy;</w:t>
            </w:r>
          </w:p>
          <w:p w14:paraId="26CCCD77"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Głównego Inspektora Sanitarnego;</w:t>
            </w:r>
          </w:p>
          <w:p w14:paraId="671AFF9E" w14:textId="77777777" w:rsidR="00E24E24" w:rsidRDefault="00164109" w:rsidP="008D5DD5">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 xml:space="preserve">Instytutu Medycyny Pracy imienia prof. J. </w:t>
            </w:r>
            <w:proofErr w:type="spellStart"/>
            <w:r w:rsidRPr="00394091">
              <w:rPr>
                <w:rFonts w:ascii="Times New Roman" w:eastAsia="Calibri" w:hAnsi="Times New Roman" w:cs="Times New Roman"/>
                <w:color w:val="000000"/>
                <w:spacing w:val="-2"/>
              </w:rPr>
              <w:t>Nofera</w:t>
            </w:r>
            <w:proofErr w:type="spellEnd"/>
            <w:r w:rsidRPr="00394091">
              <w:rPr>
                <w:rFonts w:ascii="Times New Roman" w:eastAsia="Calibri" w:hAnsi="Times New Roman" w:cs="Times New Roman"/>
                <w:color w:val="000000"/>
                <w:spacing w:val="-2"/>
              </w:rPr>
              <w:t xml:space="preserve"> w Łodzi;</w:t>
            </w:r>
          </w:p>
          <w:p w14:paraId="0752CB29" w14:textId="049F1CA8" w:rsidR="00164109" w:rsidRPr="008D5DD5" w:rsidRDefault="00164109" w:rsidP="008D5DD5">
            <w:pPr>
              <w:numPr>
                <w:ilvl w:val="0"/>
                <w:numId w:val="2"/>
              </w:numPr>
              <w:spacing w:after="0" w:line="256" w:lineRule="auto"/>
              <w:contextualSpacing/>
              <w:jc w:val="both"/>
              <w:rPr>
                <w:rFonts w:ascii="Times New Roman" w:eastAsia="Calibri" w:hAnsi="Times New Roman" w:cs="Times New Roman"/>
                <w:color w:val="000000"/>
                <w:spacing w:val="-2"/>
              </w:rPr>
            </w:pPr>
            <w:r w:rsidRPr="008D5DD5">
              <w:rPr>
                <w:rFonts w:ascii="Times New Roman" w:eastAsia="Calibri" w:hAnsi="Times New Roman" w:cs="Times New Roman"/>
                <w:color w:val="000000"/>
                <w:spacing w:val="-2"/>
              </w:rPr>
              <w:t>Konfederacji Lewiatan;</w:t>
            </w:r>
          </w:p>
          <w:p w14:paraId="0E48A2FD"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Konsultanta Krajowego w dziedzinie medycyny nuklearnej;</w:t>
            </w:r>
          </w:p>
          <w:p w14:paraId="13A17524"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Konsultanta Krajowego w dziedzinie radiologii i diagnostyki obrazowej;</w:t>
            </w:r>
          </w:p>
          <w:p w14:paraId="3417A684"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Konsultanta Krajowego w dziedzinie radioterapii onkologicznej;</w:t>
            </w:r>
          </w:p>
          <w:p w14:paraId="0A5BF7E3"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Krajowego Centrum Ochrony Radiologicznej w Ochronie Zdrowia;</w:t>
            </w:r>
          </w:p>
          <w:p w14:paraId="05418274"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Krajowej Rady Diagnostów Laboratoryjnych;</w:t>
            </w:r>
          </w:p>
          <w:p w14:paraId="3D365E74"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Krajowej Rady Fizjoterapeutów;</w:t>
            </w:r>
          </w:p>
          <w:p w14:paraId="69D25876"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Naczelnej Rady Aptekarskiej;</w:t>
            </w:r>
          </w:p>
          <w:p w14:paraId="45989C48"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Naczelnej Rady Lekarskiej;</w:t>
            </w:r>
          </w:p>
          <w:p w14:paraId="0AB041D6"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Naczelnej Rady Pielęgniarek i Położnych;</w:t>
            </w:r>
          </w:p>
          <w:p w14:paraId="26DA73C1"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Narodowego Funduszu Zdrowia;</w:t>
            </w:r>
          </w:p>
          <w:p w14:paraId="259771C1" w14:textId="1F0F6759"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 xml:space="preserve">Narodowego Instytutu Zdrowia Publicznego </w:t>
            </w:r>
            <w:r w:rsidR="00A57B9F">
              <w:rPr>
                <w:rFonts w:ascii="Times New Roman" w:eastAsia="Calibri" w:hAnsi="Times New Roman" w:cs="Times New Roman"/>
                <w:color w:val="000000"/>
                <w:spacing w:val="-2"/>
              </w:rPr>
              <w:t xml:space="preserve">PZH </w:t>
            </w:r>
            <w:r w:rsidRPr="00394091">
              <w:rPr>
                <w:rFonts w:ascii="Times New Roman" w:eastAsia="Calibri" w:hAnsi="Times New Roman" w:cs="Times New Roman"/>
                <w:color w:val="000000"/>
                <w:spacing w:val="-2"/>
              </w:rPr>
              <w:t xml:space="preserve">– Państwowego </w:t>
            </w:r>
            <w:r w:rsidR="00A57B9F">
              <w:rPr>
                <w:rFonts w:ascii="Times New Roman" w:eastAsia="Calibri" w:hAnsi="Times New Roman" w:cs="Times New Roman"/>
                <w:color w:val="000000"/>
                <w:spacing w:val="-2"/>
              </w:rPr>
              <w:t>Instytutu Badawczego</w:t>
            </w:r>
            <w:r w:rsidRPr="00394091">
              <w:rPr>
                <w:rFonts w:ascii="Times New Roman" w:eastAsia="Calibri" w:hAnsi="Times New Roman" w:cs="Times New Roman"/>
                <w:color w:val="000000"/>
                <w:spacing w:val="-2"/>
              </w:rPr>
              <w:t>;</w:t>
            </w:r>
          </w:p>
          <w:p w14:paraId="3DF3CD42"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Niezależnego Samorządnego Związku Zawodowego „Solidarność 80”;</w:t>
            </w:r>
          </w:p>
          <w:p w14:paraId="4D163624"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Niezależnego Samorządnego Związku Zawodowego „Solidarność”;</w:t>
            </w:r>
          </w:p>
          <w:p w14:paraId="6827E2C2"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Ogólnopolskiego Porozumienia Związków Zawodowych;</w:t>
            </w:r>
          </w:p>
          <w:p w14:paraId="5D332AF4"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Ogólnopolskiego Stowarzyszenia Szpitali Prywatnych;</w:t>
            </w:r>
          </w:p>
          <w:p w14:paraId="0F03C3DC"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Ogólnopolskiego Zrzeszenia Szpitali Akredytowanych;</w:t>
            </w:r>
          </w:p>
          <w:p w14:paraId="1E7D9402"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Ogólnopolskiego Związku Pracodawców Szpitali Powiatowych;</w:t>
            </w:r>
          </w:p>
          <w:p w14:paraId="52A3D656"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Ogólnopolskiego Związku Zawodowego Lekarzy;</w:t>
            </w:r>
          </w:p>
          <w:p w14:paraId="72627143"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Ogólnopolskiego Związku Zawodowego Pielęgniarek i Położnych;</w:t>
            </w:r>
          </w:p>
          <w:p w14:paraId="45A0173E"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Ogólnopolskiego Związku Zawodowego Techników Medycznych Radioterapii;</w:t>
            </w:r>
          </w:p>
          <w:p w14:paraId="29A881C3"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Państwowej Agencji Atomistyki;</w:t>
            </w:r>
          </w:p>
          <w:p w14:paraId="4086E052"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Polskiego Lekarskiego Towarzystwa Radiologicznego;</w:t>
            </w:r>
          </w:p>
          <w:p w14:paraId="11587266"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Polskiego Stowarzyszenia Dyrektorów Szpitali;</w:t>
            </w:r>
          </w:p>
          <w:p w14:paraId="092966E9"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 xml:space="preserve">Polskiego Stowarzyszenia Techników </w:t>
            </w:r>
            <w:proofErr w:type="spellStart"/>
            <w:r w:rsidRPr="00394091">
              <w:rPr>
                <w:rFonts w:ascii="Times New Roman" w:eastAsia="Calibri" w:hAnsi="Times New Roman" w:cs="Times New Roman"/>
                <w:color w:val="000000"/>
                <w:spacing w:val="-2"/>
              </w:rPr>
              <w:t>Elektroradiologii</w:t>
            </w:r>
            <w:proofErr w:type="spellEnd"/>
            <w:r w:rsidRPr="00394091">
              <w:rPr>
                <w:rFonts w:ascii="Times New Roman" w:eastAsia="Calibri" w:hAnsi="Times New Roman" w:cs="Times New Roman"/>
                <w:color w:val="000000"/>
                <w:spacing w:val="-2"/>
              </w:rPr>
              <w:t>;</w:t>
            </w:r>
          </w:p>
          <w:p w14:paraId="145DA06F"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Polskiego Towarzystwa Fizyki Medycznej;</w:t>
            </w:r>
          </w:p>
          <w:p w14:paraId="66E0871B"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Polskiego Towarzystwa Medycyny Nuklearnej;</w:t>
            </w:r>
          </w:p>
          <w:p w14:paraId="4EAC0D45"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Polskiego Towarzystwa Radioterapii Onkologicznej;</w:t>
            </w:r>
          </w:p>
          <w:p w14:paraId="3985F093"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Polskiego Towarzystwa Stomatologicznego;</w:t>
            </w:r>
          </w:p>
          <w:p w14:paraId="626B0F71"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Polskiej Federacji Szpitali;</w:t>
            </w:r>
          </w:p>
          <w:p w14:paraId="403C4C4D" w14:textId="77777777" w:rsidR="00164109" w:rsidRPr="00F420F3"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Polskiej Unii Szpitali Klinicznych</w:t>
            </w:r>
            <w:r w:rsidRPr="00F420F3">
              <w:rPr>
                <w:rFonts w:ascii="Times New Roman" w:eastAsia="Calibri" w:hAnsi="Times New Roman" w:cs="Times New Roman"/>
                <w:color w:val="000000"/>
                <w:spacing w:val="-2"/>
              </w:rPr>
              <w:t>;</w:t>
            </w:r>
          </w:p>
          <w:p w14:paraId="6447EF2D" w14:textId="7F0EFFFA" w:rsidR="00164109"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Pracodawców Rzeczypospolitej Polskiej;</w:t>
            </w:r>
          </w:p>
          <w:p w14:paraId="7D7F1A18" w14:textId="02900CDB" w:rsidR="00EC1F70" w:rsidRPr="00394091" w:rsidRDefault="00EC1F70" w:rsidP="00164109">
            <w:pPr>
              <w:numPr>
                <w:ilvl w:val="0"/>
                <w:numId w:val="2"/>
              </w:numPr>
              <w:spacing w:after="0" w:line="256" w:lineRule="auto"/>
              <w:contextualSpacing/>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Prokuratorii Generalnej Rzeczypospolitej Polskiej;</w:t>
            </w:r>
          </w:p>
          <w:p w14:paraId="36AF7CF2"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Rady Dialogu Społecznego;</w:t>
            </w:r>
          </w:p>
          <w:p w14:paraId="05592377"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Rzecznika Praw Pacjenta;</w:t>
            </w:r>
          </w:p>
          <w:p w14:paraId="47B22DA6"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Stowarzyszenia Inspektorów Ochrony Radiologicznej;</w:t>
            </w:r>
          </w:p>
          <w:p w14:paraId="7A928356" w14:textId="7D77AA14" w:rsidR="00164109" w:rsidRPr="004F566D" w:rsidRDefault="00164109" w:rsidP="004F566D">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Stowarzyszenia Menedżerów Opieki Zdrowotnej;</w:t>
            </w:r>
          </w:p>
          <w:p w14:paraId="61C56144"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Urzędu Ochrony Danych Osobowych;</w:t>
            </w:r>
          </w:p>
          <w:p w14:paraId="6C31649D"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lastRenderedPageBreak/>
              <w:t>Urzędu Ochrony Konkurencji i Konsumentów;</w:t>
            </w:r>
          </w:p>
          <w:p w14:paraId="3DEDBEFD"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Urzędu Rejestracji Produktów Leczniczych, Wyrobów Medycznych i Produktów Biobójczych;</w:t>
            </w:r>
          </w:p>
          <w:p w14:paraId="64C4D5BC"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Związku Pracodawców Business Centre Club;</w:t>
            </w:r>
          </w:p>
          <w:p w14:paraId="6E4887BA"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Związku Pracodawców Służby Zdrowia Ministerstwa Spraw Wewnętrznych i Administracji;</w:t>
            </w:r>
          </w:p>
          <w:p w14:paraId="6F8BE321"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Związku Przedsiębiorców i Pracodawców;</w:t>
            </w:r>
          </w:p>
          <w:p w14:paraId="64954CDE" w14:textId="77777777" w:rsidR="00164109" w:rsidRPr="00394091" w:rsidRDefault="00164109" w:rsidP="00164109">
            <w:pPr>
              <w:numPr>
                <w:ilvl w:val="0"/>
                <w:numId w:val="2"/>
              </w:numPr>
              <w:spacing w:after="0" w:line="256" w:lineRule="auto"/>
              <w:contextualSpacing/>
              <w:jc w:val="both"/>
              <w:rPr>
                <w:rFonts w:ascii="Times New Roman" w:eastAsia="Calibri" w:hAnsi="Times New Roman" w:cs="Times New Roman"/>
                <w:color w:val="000000"/>
                <w:spacing w:val="-2"/>
              </w:rPr>
            </w:pPr>
            <w:r w:rsidRPr="00394091">
              <w:rPr>
                <w:rFonts w:ascii="Times New Roman" w:eastAsia="Calibri" w:hAnsi="Times New Roman" w:cs="Times New Roman"/>
                <w:color w:val="000000"/>
                <w:spacing w:val="-2"/>
              </w:rPr>
              <w:t>Związku Rzemiosła Polskiego.</w:t>
            </w:r>
          </w:p>
          <w:p w14:paraId="4EB2BF6F" w14:textId="77777777" w:rsidR="00164109" w:rsidRPr="00394091" w:rsidRDefault="00164109" w:rsidP="00164109">
            <w:pPr>
              <w:spacing w:after="0" w:line="240" w:lineRule="auto"/>
              <w:rPr>
                <w:rFonts w:ascii="Times New Roman" w:eastAsia="Times New Roman" w:hAnsi="Times New Roman" w:cs="Times New Roman"/>
                <w:sz w:val="24"/>
                <w:szCs w:val="24"/>
                <w:lang w:eastAsia="pl-PL"/>
              </w:rPr>
            </w:pPr>
          </w:p>
          <w:p w14:paraId="3A66D68C" w14:textId="0679EF2E" w:rsidR="00164109" w:rsidRPr="00394091" w:rsidRDefault="00164109" w:rsidP="00164109">
            <w:pPr>
              <w:spacing w:after="0" w:line="240" w:lineRule="auto"/>
              <w:jc w:val="both"/>
              <w:rPr>
                <w:rFonts w:ascii="Times New Roman" w:eastAsia="Times New Roman" w:hAnsi="Times New Roman" w:cs="Times New Roman"/>
                <w:lang w:eastAsia="pl-PL"/>
              </w:rPr>
            </w:pPr>
            <w:r w:rsidRPr="00394091">
              <w:rPr>
                <w:rFonts w:ascii="Times New Roman" w:eastAsia="Times New Roman" w:hAnsi="Times New Roman" w:cs="Times New Roman"/>
                <w:color w:val="000000"/>
                <w:spacing w:val="-2"/>
                <w:lang w:eastAsia="pl-PL"/>
              </w:rPr>
              <w:t xml:space="preserve">Projekt rozporządzenia </w:t>
            </w:r>
            <w:r w:rsidR="004B4D39">
              <w:rPr>
                <w:rFonts w:ascii="Times New Roman" w:eastAsia="Times New Roman" w:hAnsi="Times New Roman" w:cs="Times New Roman"/>
                <w:color w:val="000000"/>
                <w:spacing w:val="-2"/>
                <w:lang w:eastAsia="pl-PL"/>
              </w:rPr>
              <w:t>został</w:t>
            </w:r>
            <w:r w:rsidR="004B4D39" w:rsidRPr="00394091">
              <w:rPr>
                <w:rFonts w:ascii="Times New Roman" w:eastAsia="Times New Roman" w:hAnsi="Times New Roman" w:cs="Times New Roman"/>
                <w:color w:val="000000"/>
                <w:spacing w:val="-2"/>
                <w:lang w:eastAsia="pl-PL"/>
              </w:rPr>
              <w:t xml:space="preserve"> </w:t>
            </w:r>
            <w:r w:rsidRPr="00394091">
              <w:rPr>
                <w:rFonts w:ascii="Times New Roman" w:eastAsia="Times New Roman" w:hAnsi="Times New Roman" w:cs="Times New Roman"/>
                <w:color w:val="000000"/>
                <w:spacing w:val="-2"/>
                <w:lang w:eastAsia="pl-PL"/>
              </w:rPr>
              <w:t>udostępniony na stronie podmiotowej Rządowego Centrum Legislacji, w</w:t>
            </w:r>
            <w:r>
              <w:rPr>
                <w:rFonts w:ascii="Times New Roman" w:eastAsia="Times New Roman" w:hAnsi="Times New Roman" w:cs="Times New Roman"/>
                <w:color w:val="000000"/>
                <w:spacing w:val="-2"/>
                <w:lang w:eastAsia="pl-PL"/>
              </w:rPr>
              <w:t> </w:t>
            </w:r>
            <w:r w:rsidRPr="00394091">
              <w:rPr>
                <w:rFonts w:ascii="Times New Roman" w:eastAsia="Times New Roman" w:hAnsi="Times New Roman" w:cs="Times New Roman"/>
                <w:color w:val="000000"/>
                <w:spacing w:val="-2"/>
                <w:lang w:eastAsia="pl-PL"/>
              </w:rPr>
              <w:t xml:space="preserve">serwisie „Rządowy Proces Legislacyjny”, zgodnie z art. 5 ustawy z dnia 7 lipca 2005 r. o działalności lobbingowej w procesie stanowienia prawa (Dz. U. z 2017 r. poz. 248) oraz uchwałą nr 190 Rady Ministrów z dnia 29 października 2013 r. – Regulamin pracy Rady Ministrów (M.P. z </w:t>
            </w:r>
            <w:r w:rsidR="00A57B9F" w:rsidRPr="00394091">
              <w:rPr>
                <w:rFonts w:ascii="Times New Roman" w:eastAsia="Times New Roman" w:hAnsi="Times New Roman" w:cs="Times New Roman"/>
                <w:color w:val="000000"/>
                <w:spacing w:val="-2"/>
                <w:lang w:eastAsia="pl-PL"/>
              </w:rPr>
              <w:t>20</w:t>
            </w:r>
            <w:r w:rsidR="00A57B9F">
              <w:rPr>
                <w:rFonts w:ascii="Times New Roman" w:eastAsia="Times New Roman" w:hAnsi="Times New Roman" w:cs="Times New Roman"/>
                <w:color w:val="000000"/>
                <w:spacing w:val="-2"/>
                <w:lang w:eastAsia="pl-PL"/>
              </w:rPr>
              <w:t>22</w:t>
            </w:r>
            <w:r w:rsidR="00A57B9F" w:rsidRPr="00394091">
              <w:rPr>
                <w:rFonts w:ascii="Times New Roman" w:eastAsia="Times New Roman" w:hAnsi="Times New Roman" w:cs="Times New Roman"/>
                <w:color w:val="000000"/>
                <w:spacing w:val="-2"/>
                <w:lang w:eastAsia="pl-PL"/>
              </w:rPr>
              <w:t xml:space="preserve"> </w:t>
            </w:r>
            <w:r w:rsidRPr="00394091">
              <w:rPr>
                <w:rFonts w:ascii="Times New Roman" w:eastAsia="Times New Roman" w:hAnsi="Times New Roman" w:cs="Times New Roman"/>
                <w:color w:val="000000"/>
                <w:spacing w:val="-2"/>
                <w:lang w:eastAsia="pl-PL"/>
              </w:rPr>
              <w:t xml:space="preserve">r. poz. </w:t>
            </w:r>
            <w:r w:rsidR="00A57B9F">
              <w:rPr>
                <w:rFonts w:ascii="Times New Roman" w:eastAsia="Times New Roman" w:hAnsi="Times New Roman" w:cs="Times New Roman"/>
                <w:color w:val="000000"/>
                <w:spacing w:val="-2"/>
                <w:lang w:eastAsia="pl-PL"/>
              </w:rPr>
              <w:t>348</w:t>
            </w:r>
            <w:r w:rsidRPr="00394091">
              <w:rPr>
                <w:rFonts w:ascii="Times New Roman" w:eastAsia="Times New Roman" w:hAnsi="Times New Roman" w:cs="Times New Roman"/>
                <w:color w:val="000000"/>
                <w:spacing w:val="-2"/>
                <w:lang w:eastAsia="pl-PL"/>
              </w:rPr>
              <w:t>).</w:t>
            </w:r>
            <w:r w:rsidRPr="00394091">
              <w:rPr>
                <w:rFonts w:ascii="Times New Roman" w:eastAsia="Times New Roman" w:hAnsi="Times New Roman" w:cs="Times New Roman"/>
                <w:lang w:eastAsia="pl-PL"/>
              </w:rPr>
              <w:t xml:space="preserve"> </w:t>
            </w:r>
          </w:p>
          <w:p w14:paraId="16D748B0" w14:textId="41712B05" w:rsidR="00164109" w:rsidRPr="00055E6A" w:rsidRDefault="00164109" w:rsidP="00164109">
            <w:pPr>
              <w:spacing w:after="0" w:line="240" w:lineRule="auto"/>
              <w:jc w:val="both"/>
              <w:rPr>
                <w:rFonts w:ascii="Times New Roman" w:eastAsia="Calibri" w:hAnsi="Times New Roman" w:cs="Times New Roman"/>
                <w:color w:val="000000"/>
                <w:spacing w:val="-2"/>
              </w:rPr>
            </w:pPr>
            <w:r w:rsidRPr="00394091">
              <w:rPr>
                <w:rFonts w:ascii="Times New Roman" w:eastAsia="Times New Roman" w:hAnsi="Times New Roman" w:cs="Times New Roman"/>
                <w:color w:val="000000"/>
                <w:spacing w:val="-2"/>
                <w:lang w:eastAsia="pl-PL"/>
              </w:rPr>
              <w:t xml:space="preserve">Wyniki konsultacji publicznych i opiniowania </w:t>
            </w:r>
            <w:r w:rsidR="00A57B9F" w:rsidRPr="00394091">
              <w:rPr>
                <w:rFonts w:ascii="Times New Roman" w:eastAsia="Times New Roman" w:hAnsi="Times New Roman" w:cs="Times New Roman"/>
                <w:color w:val="000000"/>
                <w:spacing w:val="-2"/>
                <w:lang w:eastAsia="pl-PL"/>
              </w:rPr>
              <w:t>zosta</w:t>
            </w:r>
            <w:r w:rsidR="00A57B9F">
              <w:rPr>
                <w:rFonts w:ascii="Times New Roman" w:eastAsia="Times New Roman" w:hAnsi="Times New Roman" w:cs="Times New Roman"/>
                <w:color w:val="000000"/>
                <w:spacing w:val="-2"/>
                <w:lang w:eastAsia="pl-PL"/>
              </w:rPr>
              <w:t>ną</w:t>
            </w:r>
            <w:r w:rsidR="00A57B9F" w:rsidRPr="00394091">
              <w:rPr>
                <w:rFonts w:ascii="Times New Roman" w:eastAsia="Times New Roman" w:hAnsi="Times New Roman" w:cs="Times New Roman"/>
                <w:color w:val="000000"/>
                <w:spacing w:val="-2"/>
                <w:lang w:eastAsia="pl-PL"/>
              </w:rPr>
              <w:t xml:space="preserve"> </w:t>
            </w:r>
            <w:r w:rsidRPr="00394091">
              <w:rPr>
                <w:rFonts w:ascii="Times New Roman" w:eastAsia="Times New Roman" w:hAnsi="Times New Roman" w:cs="Times New Roman"/>
                <w:color w:val="000000"/>
                <w:spacing w:val="-2"/>
                <w:lang w:eastAsia="pl-PL"/>
              </w:rPr>
              <w:t xml:space="preserve">przedstawione w raporcie załączonym do niniejszej Oceny Skutków Regulacji. </w:t>
            </w:r>
          </w:p>
        </w:tc>
      </w:tr>
      <w:tr w:rsidR="00164109" w:rsidRPr="00055E6A" w14:paraId="26856398" w14:textId="77777777" w:rsidTr="00997877">
        <w:trPr>
          <w:gridAfter w:val="1"/>
          <w:wAfter w:w="10" w:type="dxa"/>
          <w:trHeight w:val="363"/>
        </w:trPr>
        <w:tc>
          <w:tcPr>
            <w:tcW w:w="10937" w:type="dxa"/>
            <w:gridSpan w:val="29"/>
            <w:shd w:val="clear" w:color="auto" w:fill="99CCFF"/>
            <w:vAlign w:val="center"/>
          </w:tcPr>
          <w:p w14:paraId="5EBA275F" w14:textId="77777777" w:rsidR="00164109" w:rsidRPr="00055E6A" w:rsidRDefault="00164109" w:rsidP="00164109">
            <w:pPr>
              <w:widowControl w:val="0"/>
              <w:numPr>
                <w:ilvl w:val="0"/>
                <w:numId w:val="1"/>
              </w:numPr>
              <w:suppressAutoHyphens/>
              <w:spacing w:before="60" w:after="60" w:line="240" w:lineRule="auto"/>
              <w:ind w:left="318" w:hanging="284"/>
              <w:jc w:val="both"/>
              <w:rPr>
                <w:rFonts w:ascii="Times New Roman" w:eastAsia="Calibri" w:hAnsi="Times New Roman" w:cs="Times New Roman"/>
                <w:b/>
                <w:color w:val="000000"/>
              </w:rPr>
            </w:pPr>
            <w:r w:rsidRPr="00055E6A">
              <w:rPr>
                <w:rFonts w:ascii="Times New Roman" w:eastAsia="Calibri" w:hAnsi="Times New Roman" w:cs="Times New Roman"/>
                <w:b/>
                <w:color w:val="000000"/>
              </w:rPr>
              <w:lastRenderedPageBreak/>
              <w:t xml:space="preserve"> Wpływ na sektor finansów publicznych</w:t>
            </w:r>
          </w:p>
        </w:tc>
      </w:tr>
      <w:tr w:rsidR="00164109" w:rsidRPr="00055E6A" w14:paraId="2A3EFF06" w14:textId="77777777" w:rsidTr="00997877">
        <w:trPr>
          <w:gridAfter w:val="1"/>
          <w:wAfter w:w="10" w:type="dxa"/>
          <w:trHeight w:val="142"/>
        </w:trPr>
        <w:tc>
          <w:tcPr>
            <w:tcW w:w="3133" w:type="dxa"/>
            <w:gridSpan w:val="4"/>
            <w:vMerge w:val="restart"/>
            <w:shd w:val="clear" w:color="auto" w:fill="FFFFFF"/>
          </w:tcPr>
          <w:p w14:paraId="664A9043" w14:textId="77777777" w:rsidR="00164109" w:rsidRPr="00055E6A" w:rsidRDefault="00164109" w:rsidP="00164109">
            <w:pPr>
              <w:spacing w:before="40" w:after="40" w:line="276" w:lineRule="auto"/>
              <w:rPr>
                <w:rFonts w:ascii="Times New Roman" w:eastAsia="Calibri" w:hAnsi="Times New Roman" w:cs="Times New Roman"/>
                <w:i/>
                <w:color w:val="000000"/>
                <w:sz w:val="21"/>
                <w:szCs w:val="21"/>
              </w:rPr>
            </w:pPr>
            <w:r w:rsidRPr="00055E6A">
              <w:rPr>
                <w:rFonts w:ascii="Times New Roman" w:eastAsia="Calibri" w:hAnsi="Times New Roman" w:cs="Times New Roman"/>
                <w:color w:val="000000"/>
                <w:sz w:val="21"/>
                <w:szCs w:val="21"/>
              </w:rPr>
              <w:t>(ceny stałe z …… r.)</w:t>
            </w:r>
          </w:p>
        </w:tc>
        <w:tc>
          <w:tcPr>
            <w:tcW w:w="7804" w:type="dxa"/>
            <w:gridSpan w:val="25"/>
            <w:shd w:val="clear" w:color="auto" w:fill="FFFFFF"/>
          </w:tcPr>
          <w:p w14:paraId="558D5692" w14:textId="77777777" w:rsidR="00164109" w:rsidRPr="00055E6A" w:rsidRDefault="00164109" w:rsidP="00164109">
            <w:pPr>
              <w:spacing w:before="40" w:after="40" w:line="240" w:lineRule="auto"/>
              <w:jc w:val="center"/>
              <w:rPr>
                <w:rFonts w:ascii="Times New Roman" w:eastAsia="Calibri" w:hAnsi="Times New Roman" w:cs="Times New Roman"/>
                <w:i/>
                <w:color w:val="000000"/>
                <w:spacing w:val="-2"/>
                <w:sz w:val="21"/>
                <w:szCs w:val="21"/>
              </w:rPr>
            </w:pPr>
            <w:r w:rsidRPr="00055E6A">
              <w:rPr>
                <w:rFonts w:ascii="Times New Roman" w:eastAsia="Calibri" w:hAnsi="Times New Roman" w:cs="Times New Roman"/>
                <w:color w:val="000000"/>
                <w:sz w:val="21"/>
                <w:szCs w:val="21"/>
              </w:rPr>
              <w:t>Skutki w okresie 10 lat od wejścia w życie zmian [mln zł]</w:t>
            </w:r>
          </w:p>
        </w:tc>
      </w:tr>
      <w:tr w:rsidR="00164109" w:rsidRPr="00055E6A" w14:paraId="77D6C3A3" w14:textId="77777777" w:rsidTr="00997877">
        <w:trPr>
          <w:gridAfter w:val="1"/>
          <w:wAfter w:w="10" w:type="dxa"/>
          <w:trHeight w:val="142"/>
        </w:trPr>
        <w:tc>
          <w:tcPr>
            <w:tcW w:w="3133" w:type="dxa"/>
            <w:gridSpan w:val="4"/>
            <w:vMerge/>
            <w:shd w:val="clear" w:color="auto" w:fill="FFFFFF"/>
          </w:tcPr>
          <w:p w14:paraId="4DCA56CE" w14:textId="77777777" w:rsidR="00164109" w:rsidRPr="00055E6A" w:rsidRDefault="00164109" w:rsidP="00164109">
            <w:pPr>
              <w:spacing w:before="40" w:after="40" w:line="240" w:lineRule="auto"/>
              <w:rPr>
                <w:rFonts w:ascii="Times New Roman" w:eastAsia="Calibri" w:hAnsi="Times New Roman" w:cs="Times New Roman"/>
                <w:i/>
                <w:color w:val="000000"/>
                <w:sz w:val="21"/>
                <w:szCs w:val="21"/>
              </w:rPr>
            </w:pPr>
          </w:p>
        </w:tc>
        <w:tc>
          <w:tcPr>
            <w:tcW w:w="569" w:type="dxa"/>
            <w:gridSpan w:val="2"/>
            <w:shd w:val="clear" w:color="auto" w:fill="FFFFFF"/>
          </w:tcPr>
          <w:p w14:paraId="6670FD91"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17BC90A0"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1</w:t>
            </w:r>
          </w:p>
        </w:tc>
        <w:tc>
          <w:tcPr>
            <w:tcW w:w="570" w:type="dxa"/>
            <w:gridSpan w:val="2"/>
            <w:shd w:val="clear" w:color="auto" w:fill="FFFFFF"/>
          </w:tcPr>
          <w:p w14:paraId="380501A6"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2</w:t>
            </w:r>
          </w:p>
        </w:tc>
        <w:tc>
          <w:tcPr>
            <w:tcW w:w="569" w:type="dxa"/>
            <w:gridSpan w:val="3"/>
            <w:shd w:val="clear" w:color="auto" w:fill="FFFFFF"/>
          </w:tcPr>
          <w:p w14:paraId="331D07A2"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3</w:t>
            </w:r>
          </w:p>
        </w:tc>
        <w:tc>
          <w:tcPr>
            <w:tcW w:w="570" w:type="dxa"/>
            <w:gridSpan w:val="2"/>
            <w:shd w:val="clear" w:color="auto" w:fill="FFFFFF"/>
          </w:tcPr>
          <w:p w14:paraId="7BBAB2E1"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4</w:t>
            </w:r>
          </w:p>
        </w:tc>
        <w:tc>
          <w:tcPr>
            <w:tcW w:w="570" w:type="dxa"/>
            <w:shd w:val="clear" w:color="auto" w:fill="FFFFFF"/>
          </w:tcPr>
          <w:p w14:paraId="446D6A8F"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5</w:t>
            </w:r>
          </w:p>
        </w:tc>
        <w:tc>
          <w:tcPr>
            <w:tcW w:w="570" w:type="dxa"/>
            <w:gridSpan w:val="3"/>
            <w:shd w:val="clear" w:color="auto" w:fill="FFFFFF"/>
          </w:tcPr>
          <w:p w14:paraId="349DBD80"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6</w:t>
            </w:r>
          </w:p>
        </w:tc>
        <w:tc>
          <w:tcPr>
            <w:tcW w:w="569" w:type="dxa"/>
            <w:gridSpan w:val="3"/>
            <w:shd w:val="clear" w:color="auto" w:fill="FFFFFF"/>
          </w:tcPr>
          <w:p w14:paraId="227BB144"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7</w:t>
            </w:r>
          </w:p>
        </w:tc>
        <w:tc>
          <w:tcPr>
            <w:tcW w:w="570" w:type="dxa"/>
            <w:gridSpan w:val="2"/>
            <w:shd w:val="clear" w:color="auto" w:fill="FFFFFF"/>
          </w:tcPr>
          <w:p w14:paraId="7E4C4867"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8</w:t>
            </w:r>
          </w:p>
        </w:tc>
        <w:tc>
          <w:tcPr>
            <w:tcW w:w="570" w:type="dxa"/>
            <w:gridSpan w:val="2"/>
            <w:shd w:val="clear" w:color="auto" w:fill="FFFFFF"/>
          </w:tcPr>
          <w:p w14:paraId="4F829B4B"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9</w:t>
            </w:r>
          </w:p>
        </w:tc>
        <w:tc>
          <w:tcPr>
            <w:tcW w:w="570" w:type="dxa"/>
            <w:shd w:val="clear" w:color="auto" w:fill="FFFFFF"/>
          </w:tcPr>
          <w:p w14:paraId="608C5A18"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10</w:t>
            </w:r>
          </w:p>
        </w:tc>
        <w:tc>
          <w:tcPr>
            <w:tcW w:w="1537" w:type="dxa"/>
            <w:gridSpan w:val="2"/>
            <w:shd w:val="clear" w:color="auto" w:fill="FFFFFF"/>
          </w:tcPr>
          <w:p w14:paraId="0369405C" w14:textId="77777777" w:rsidR="00164109" w:rsidRPr="00055E6A" w:rsidRDefault="00164109" w:rsidP="00164109">
            <w:pPr>
              <w:spacing w:before="40" w:after="40" w:line="240" w:lineRule="auto"/>
              <w:jc w:val="center"/>
              <w:rPr>
                <w:rFonts w:ascii="Times New Roman" w:eastAsia="Calibri" w:hAnsi="Times New Roman" w:cs="Times New Roman"/>
                <w:i/>
                <w:color w:val="000000"/>
                <w:spacing w:val="-2"/>
                <w:sz w:val="21"/>
                <w:szCs w:val="21"/>
              </w:rPr>
            </w:pPr>
            <w:r w:rsidRPr="00055E6A">
              <w:rPr>
                <w:rFonts w:ascii="Times New Roman" w:eastAsia="Calibri" w:hAnsi="Times New Roman" w:cs="Times New Roman"/>
                <w:i/>
                <w:color w:val="000000"/>
                <w:spacing w:val="-2"/>
                <w:sz w:val="21"/>
                <w:szCs w:val="21"/>
              </w:rPr>
              <w:t>Łącznie (0-10)</w:t>
            </w:r>
          </w:p>
        </w:tc>
      </w:tr>
      <w:tr w:rsidR="00164109" w:rsidRPr="00055E6A" w14:paraId="41357FA2" w14:textId="77777777" w:rsidTr="00997877">
        <w:trPr>
          <w:trHeight w:val="321"/>
        </w:trPr>
        <w:tc>
          <w:tcPr>
            <w:tcW w:w="3133" w:type="dxa"/>
            <w:gridSpan w:val="4"/>
            <w:shd w:val="clear" w:color="auto" w:fill="FFFFFF"/>
            <w:vAlign w:val="center"/>
          </w:tcPr>
          <w:p w14:paraId="051C4997"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b/>
                <w:color w:val="000000"/>
                <w:sz w:val="21"/>
                <w:szCs w:val="21"/>
              </w:rPr>
              <w:t>Dochody ogółem</w:t>
            </w:r>
          </w:p>
        </w:tc>
        <w:tc>
          <w:tcPr>
            <w:tcW w:w="569" w:type="dxa"/>
            <w:gridSpan w:val="2"/>
            <w:shd w:val="clear" w:color="auto" w:fill="FFFFFF"/>
          </w:tcPr>
          <w:p w14:paraId="293FE59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1358CE58"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50F0C7A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4029438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0A0FE89C"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1F5B715B"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3"/>
            <w:shd w:val="clear" w:color="auto" w:fill="FFFFFF"/>
          </w:tcPr>
          <w:p w14:paraId="12186AE1"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4DC903C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33A261BA"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778BE925"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4D7C22B5"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1547" w:type="dxa"/>
            <w:gridSpan w:val="3"/>
            <w:shd w:val="clear" w:color="auto" w:fill="FFFFFF"/>
          </w:tcPr>
          <w:p w14:paraId="2E4C53BF" w14:textId="77777777" w:rsidR="00164109" w:rsidRPr="00055E6A" w:rsidRDefault="00164109" w:rsidP="00164109">
            <w:pPr>
              <w:spacing w:after="0" w:line="240" w:lineRule="auto"/>
              <w:rPr>
                <w:rFonts w:ascii="Times New Roman" w:eastAsia="Calibri" w:hAnsi="Times New Roman" w:cs="Times New Roman"/>
                <w:color w:val="000000"/>
                <w:spacing w:val="-2"/>
                <w:sz w:val="21"/>
                <w:szCs w:val="21"/>
              </w:rPr>
            </w:pPr>
            <w:r w:rsidRPr="00055E6A">
              <w:rPr>
                <w:rFonts w:ascii="Times New Roman" w:eastAsia="Calibri" w:hAnsi="Times New Roman" w:cs="Times New Roman"/>
                <w:color w:val="000000"/>
                <w:sz w:val="21"/>
                <w:szCs w:val="21"/>
              </w:rPr>
              <w:t>0</w:t>
            </w:r>
          </w:p>
        </w:tc>
      </w:tr>
      <w:tr w:rsidR="00164109" w:rsidRPr="00055E6A" w14:paraId="77D17D17" w14:textId="77777777" w:rsidTr="00997877">
        <w:trPr>
          <w:trHeight w:val="321"/>
        </w:trPr>
        <w:tc>
          <w:tcPr>
            <w:tcW w:w="3133" w:type="dxa"/>
            <w:gridSpan w:val="4"/>
            <w:shd w:val="clear" w:color="auto" w:fill="FFFFFF"/>
            <w:vAlign w:val="center"/>
          </w:tcPr>
          <w:p w14:paraId="3C6E3B00"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budżet państwa</w:t>
            </w:r>
          </w:p>
        </w:tc>
        <w:tc>
          <w:tcPr>
            <w:tcW w:w="569" w:type="dxa"/>
            <w:gridSpan w:val="2"/>
            <w:shd w:val="clear" w:color="auto" w:fill="FFFFFF"/>
          </w:tcPr>
          <w:p w14:paraId="6BDA3DF9"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2E886488"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41857E9D"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39571245"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5C64B49C"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1E71B2D2"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3"/>
            <w:shd w:val="clear" w:color="auto" w:fill="FFFFFF"/>
          </w:tcPr>
          <w:p w14:paraId="0AE5D638"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2E57D11A"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79FD931B"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100169A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213EBC1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1547" w:type="dxa"/>
            <w:gridSpan w:val="3"/>
            <w:shd w:val="clear" w:color="auto" w:fill="FFFFFF"/>
          </w:tcPr>
          <w:p w14:paraId="7EC21CA2" w14:textId="77777777" w:rsidR="00164109" w:rsidRPr="00055E6A" w:rsidRDefault="00164109" w:rsidP="00164109">
            <w:pPr>
              <w:spacing w:after="0" w:line="240" w:lineRule="auto"/>
              <w:rPr>
                <w:rFonts w:ascii="Times New Roman" w:eastAsia="Calibri" w:hAnsi="Times New Roman" w:cs="Times New Roman"/>
                <w:color w:val="000000"/>
                <w:spacing w:val="-2"/>
                <w:sz w:val="21"/>
                <w:szCs w:val="21"/>
              </w:rPr>
            </w:pPr>
            <w:r w:rsidRPr="00055E6A">
              <w:rPr>
                <w:rFonts w:ascii="Times New Roman" w:eastAsia="Calibri" w:hAnsi="Times New Roman" w:cs="Times New Roman"/>
                <w:color w:val="000000"/>
                <w:sz w:val="21"/>
                <w:szCs w:val="21"/>
              </w:rPr>
              <w:t>0</w:t>
            </w:r>
          </w:p>
        </w:tc>
      </w:tr>
      <w:tr w:rsidR="00164109" w:rsidRPr="00055E6A" w14:paraId="0CC61102" w14:textId="77777777" w:rsidTr="00997877">
        <w:trPr>
          <w:trHeight w:val="344"/>
        </w:trPr>
        <w:tc>
          <w:tcPr>
            <w:tcW w:w="3133" w:type="dxa"/>
            <w:gridSpan w:val="4"/>
            <w:shd w:val="clear" w:color="auto" w:fill="FFFFFF"/>
            <w:vAlign w:val="center"/>
          </w:tcPr>
          <w:p w14:paraId="3AB8E081"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JST</w:t>
            </w:r>
          </w:p>
        </w:tc>
        <w:tc>
          <w:tcPr>
            <w:tcW w:w="569" w:type="dxa"/>
            <w:gridSpan w:val="2"/>
            <w:shd w:val="clear" w:color="auto" w:fill="FFFFFF"/>
          </w:tcPr>
          <w:p w14:paraId="61898629"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73ECAFC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5A2154AA"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4BB9EE13"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36EF3375"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1195E03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3"/>
            <w:shd w:val="clear" w:color="auto" w:fill="FFFFFF"/>
          </w:tcPr>
          <w:p w14:paraId="3DC6F66B"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14E8444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2D915195"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3AF3948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2D95B8E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1547" w:type="dxa"/>
            <w:gridSpan w:val="3"/>
            <w:shd w:val="clear" w:color="auto" w:fill="FFFFFF"/>
          </w:tcPr>
          <w:p w14:paraId="63E2BEF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r>
      <w:tr w:rsidR="00164109" w:rsidRPr="00055E6A" w14:paraId="1B2F46E4" w14:textId="77777777" w:rsidTr="00997877">
        <w:trPr>
          <w:trHeight w:val="344"/>
        </w:trPr>
        <w:tc>
          <w:tcPr>
            <w:tcW w:w="3133" w:type="dxa"/>
            <w:gridSpan w:val="4"/>
            <w:shd w:val="clear" w:color="auto" w:fill="FFFFFF"/>
            <w:vAlign w:val="center"/>
          </w:tcPr>
          <w:p w14:paraId="2587416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pozostałe jednostki (oddzielnie)</w:t>
            </w:r>
          </w:p>
        </w:tc>
        <w:tc>
          <w:tcPr>
            <w:tcW w:w="569" w:type="dxa"/>
            <w:gridSpan w:val="2"/>
            <w:shd w:val="clear" w:color="auto" w:fill="FFFFFF"/>
          </w:tcPr>
          <w:p w14:paraId="50E612A5"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25661D2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597A545D"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450347C8"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29E58EE3"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66A75C0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3"/>
            <w:shd w:val="clear" w:color="auto" w:fill="FFFFFF"/>
          </w:tcPr>
          <w:p w14:paraId="3D824FE9"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4B406F8A"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0203EF6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6C0510D2"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19633B89"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1547" w:type="dxa"/>
            <w:gridSpan w:val="3"/>
            <w:shd w:val="clear" w:color="auto" w:fill="FFFFFF"/>
          </w:tcPr>
          <w:p w14:paraId="0EEFA8E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r>
      <w:tr w:rsidR="00164109" w:rsidRPr="00055E6A" w14:paraId="27AC1AB6" w14:textId="77777777" w:rsidTr="00997877">
        <w:trPr>
          <w:trHeight w:val="330"/>
        </w:trPr>
        <w:tc>
          <w:tcPr>
            <w:tcW w:w="3133" w:type="dxa"/>
            <w:gridSpan w:val="4"/>
            <w:shd w:val="clear" w:color="auto" w:fill="FFFFFF"/>
            <w:vAlign w:val="center"/>
          </w:tcPr>
          <w:p w14:paraId="7FBF494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b/>
                <w:color w:val="000000"/>
                <w:sz w:val="21"/>
                <w:szCs w:val="21"/>
              </w:rPr>
              <w:t>Wydatki ogółem</w:t>
            </w:r>
          </w:p>
        </w:tc>
        <w:tc>
          <w:tcPr>
            <w:tcW w:w="569" w:type="dxa"/>
            <w:gridSpan w:val="2"/>
            <w:shd w:val="clear" w:color="auto" w:fill="FFFFFF"/>
          </w:tcPr>
          <w:p w14:paraId="686C232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178E80A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50E9E0C1"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3760296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7F210D5C"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320A846C"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3"/>
            <w:shd w:val="clear" w:color="auto" w:fill="FFFFFF"/>
          </w:tcPr>
          <w:p w14:paraId="588702C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4E8209B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6DBCB77B"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7BD7D461"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21FB8041"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1547" w:type="dxa"/>
            <w:gridSpan w:val="3"/>
            <w:shd w:val="clear" w:color="auto" w:fill="FFFFFF"/>
          </w:tcPr>
          <w:p w14:paraId="4874108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r>
      <w:tr w:rsidR="00164109" w:rsidRPr="00055E6A" w14:paraId="7B9D0AF9" w14:textId="77777777" w:rsidTr="00997877">
        <w:trPr>
          <w:trHeight w:val="330"/>
        </w:trPr>
        <w:tc>
          <w:tcPr>
            <w:tcW w:w="3133" w:type="dxa"/>
            <w:gridSpan w:val="4"/>
            <w:shd w:val="clear" w:color="auto" w:fill="FFFFFF"/>
            <w:vAlign w:val="center"/>
          </w:tcPr>
          <w:p w14:paraId="10898D0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budżet państwa</w:t>
            </w:r>
          </w:p>
        </w:tc>
        <w:tc>
          <w:tcPr>
            <w:tcW w:w="569" w:type="dxa"/>
            <w:gridSpan w:val="2"/>
            <w:shd w:val="clear" w:color="auto" w:fill="FFFFFF"/>
          </w:tcPr>
          <w:p w14:paraId="07F37E37"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233DBA75"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1226D001"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7606845C"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7310C0F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64C8CEFA"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3"/>
            <w:shd w:val="clear" w:color="auto" w:fill="FFFFFF"/>
          </w:tcPr>
          <w:p w14:paraId="06B92CA8"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08F2E8B9"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69D6C3D1"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6F23151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2FEE2B31"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1547" w:type="dxa"/>
            <w:gridSpan w:val="3"/>
            <w:shd w:val="clear" w:color="auto" w:fill="FFFFFF"/>
          </w:tcPr>
          <w:p w14:paraId="5EFBC40D"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r>
      <w:tr w:rsidR="00164109" w:rsidRPr="00055E6A" w14:paraId="73B23A5D" w14:textId="77777777" w:rsidTr="00997877">
        <w:trPr>
          <w:trHeight w:val="351"/>
        </w:trPr>
        <w:tc>
          <w:tcPr>
            <w:tcW w:w="3133" w:type="dxa"/>
            <w:gridSpan w:val="4"/>
            <w:shd w:val="clear" w:color="auto" w:fill="FFFFFF"/>
            <w:vAlign w:val="center"/>
          </w:tcPr>
          <w:p w14:paraId="52BAF402"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JST</w:t>
            </w:r>
          </w:p>
        </w:tc>
        <w:tc>
          <w:tcPr>
            <w:tcW w:w="569" w:type="dxa"/>
            <w:gridSpan w:val="2"/>
            <w:shd w:val="clear" w:color="auto" w:fill="FFFFFF"/>
          </w:tcPr>
          <w:p w14:paraId="692FCCD0"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69D12A77"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18570E72"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5ED1DE83"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3452432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52E6D06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3"/>
            <w:shd w:val="clear" w:color="auto" w:fill="FFFFFF"/>
          </w:tcPr>
          <w:p w14:paraId="7BD72509"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07B4CDF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3E4F6FB3"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087D0B7C"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402E454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1547" w:type="dxa"/>
            <w:gridSpan w:val="3"/>
            <w:shd w:val="clear" w:color="auto" w:fill="FFFFFF"/>
          </w:tcPr>
          <w:p w14:paraId="4A24753B"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r>
      <w:tr w:rsidR="00164109" w:rsidRPr="00055E6A" w14:paraId="73D5F247" w14:textId="77777777" w:rsidTr="00997877">
        <w:trPr>
          <w:trHeight w:val="351"/>
        </w:trPr>
        <w:tc>
          <w:tcPr>
            <w:tcW w:w="3133" w:type="dxa"/>
            <w:gridSpan w:val="4"/>
            <w:shd w:val="clear" w:color="auto" w:fill="FFFFFF"/>
            <w:vAlign w:val="center"/>
          </w:tcPr>
          <w:p w14:paraId="1775EB23"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pozostałe jednostki (oddzielnie)</w:t>
            </w:r>
          </w:p>
        </w:tc>
        <w:tc>
          <w:tcPr>
            <w:tcW w:w="569" w:type="dxa"/>
            <w:gridSpan w:val="2"/>
            <w:shd w:val="clear" w:color="auto" w:fill="FFFFFF"/>
          </w:tcPr>
          <w:p w14:paraId="21CA602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6BD87C9B"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6B31337A"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5990C22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21767073"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57C4AA6B"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3"/>
            <w:shd w:val="clear" w:color="auto" w:fill="FFFFFF"/>
          </w:tcPr>
          <w:p w14:paraId="2ECA9F0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2E43359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636CCE1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602AD3B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660A113D"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1547" w:type="dxa"/>
            <w:gridSpan w:val="3"/>
            <w:shd w:val="clear" w:color="auto" w:fill="FFFFFF"/>
          </w:tcPr>
          <w:p w14:paraId="2B443C9C"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r>
      <w:tr w:rsidR="00164109" w:rsidRPr="00055E6A" w14:paraId="4FFBFC67" w14:textId="77777777" w:rsidTr="00997877">
        <w:trPr>
          <w:trHeight w:val="360"/>
        </w:trPr>
        <w:tc>
          <w:tcPr>
            <w:tcW w:w="3133" w:type="dxa"/>
            <w:gridSpan w:val="4"/>
            <w:shd w:val="clear" w:color="auto" w:fill="FFFFFF"/>
            <w:vAlign w:val="center"/>
          </w:tcPr>
          <w:p w14:paraId="71BC842D"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b/>
                <w:color w:val="000000"/>
                <w:sz w:val="21"/>
                <w:szCs w:val="21"/>
              </w:rPr>
              <w:t>Saldo ogółem</w:t>
            </w:r>
          </w:p>
        </w:tc>
        <w:tc>
          <w:tcPr>
            <w:tcW w:w="569" w:type="dxa"/>
            <w:gridSpan w:val="2"/>
            <w:shd w:val="clear" w:color="auto" w:fill="FFFFFF"/>
          </w:tcPr>
          <w:p w14:paraId="6827B240"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55EE1D7C"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2AEE0EE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09BE0970"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5A7CC189"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7F199948"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3"/>
            <w:shd w:val="clear" w:color="auto" w:fill="FFFFFF"/>
          </w:tcPr>
          <w:p w14:paraId="141A4A4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4FA16295"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7D4FDC92"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7BCDC333"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1FC6669A"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1547" w:type="dxa"/>
            <w:gridSpan w:val="3"/>
            <w:shd w:val="clear" w:color="auto" w:fill="FFFFFF"/>
          </w:tcPr>
          <w:p w14:paraId="195AEB27"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r>
      <w:tr w:rsidR="00164109" w:rsidRPr="00055E6A" w14:paraId="3CB9E4A8" w14:textId="77777777" w:rsidTr="00997877">
        <w:trPr>
          <w:trHeight w:val="360"/>
        </w:trPr>
        <w:tc>
          <w:tcPr>
            <w:tcW w:w="3133" w:type="dxa"/>
            <w:gridSpan w:val="4"/>
            <w:shd w:val="clear" w:color="auto" w:fill="FFFFFF"/>
            <w:vAlign w:val="center"/>
          </w:tcPr>
          <w:p w14:paraId="110ECEF7"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budżet państwa</w:t>
            </w:r>
          </w:p>
        </w:tc>
        <w:tc>
          <w:tcPr>
            <w:tcW w:w="569" w:type="dxa"/>
            <w:gridSpan w:val="2"/>
            <w:shd w:val="clear" w:color="auto" w:fill="FFFFFF"/>
          </w:tcPr>
          <w:p w14:paraId="0026A18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650EF8E0"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0A6EA4DD"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51B75AF8"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0229CE2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18D5D9BA"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3"/>
            <w:shd w:val="clear" w:color="auto" w:fill="FFFFFF"/>
          </w:tcPr>
          <w:p w14:paraId="5F0E733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4866C9C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2A57344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6E7E4E7A"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7E959CB9"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1547" w:type="dxa"/>
            <w:gridSpan w:val="3"/>
            <w:shd w:val="clear" w:color="auto" w:fill="FFFFFF"/>
          </w:tcPr>
          <w:p w14:paraId="4CAA4F88"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r>
      <w:tr w:rsidR="00164109" w:rsidRPr="00055E6A" w14:paraId="0F3BCA78" w14:textId="77777777" w:rsidTr="00997877">
        <w:trPr>
          <w:trHeight w:val="357"/>
        </w:trPr>
        <w:tc>
          <w:tcPr>
            <w:tcW w:w="3133" w:type="dxa"/>
            <w:gridSpan w:val="4"/>
            <w:shd w:val="clear" w:color="auto" w:fill="FFFFFF"/>
            <w:vAlign w:val="center"/>
          </w:tcPr>
          <w:p w14:paraId="4285C91D"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JST</w:t>
            </w:r>
          </w:p>
        </w:tc>
        <w:tc>
          <w:tcPr>
            <w:tcW w:w="569" w:type="dxa"/>
            <w:gridSpan w:val="2"/>
            <w:shd w:val="clear" w:color="auto" w:fill="FFFFFF"/>
          </w:tcPr>
          <w:p w14:paraId="21812D5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73B500E0"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01EF79E7"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5B245561"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1BEC4881"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52A6344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3"/>
            <w:shd w:val="clear" w:color="auto" w:fill="FFFFFF"/>
          </w:tcPr>
          <w:p w14:paraId="4D31A46C"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047DA86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63B1C00B"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35215D48"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5C04739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1547" w:type="dxa"/>
            <w:gridSpan w:val="3"/>
            <w:shd w:val="clear" w:color="auto" w:fill="FFFFFF"/>
          </w:tcPr>
          <w:p w14:paraId="31D338E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r>
      <w:tr w:rsidR="00164109" w:rsidRPr="00055E6A" w14:paraId="654667B2" w14:textId="77777777" w:rsidTr="00997877">
        <w:trPr>
          <w:trHeight w:val="357"/>
        </w:trPr>
        <w:tc>
          <w:tcPr>
            <w:tcW w:w="3133" w:type="dxa"/>
            <w:gridSpan w:val="4"/>
            <w:shd w:val="clear" w:color="auto" w:fill="FFFFFF"/>
            <w:vAlign w:val="center"/>
          </w:tcPr>
          <w:p w14:paraId="03D3266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pozostałe jednostki (oddzielnie)</w:t>
            </w:r>
          </w:p>
        </w:tc>
        <w:tc>
          <w:tcPr>
            <w:tcW w:w="569" w:type="dxa"/>
            <w:gridSpan w:val="2"/>
            <w:shd w:val="clear" w:color="auto" w:fill="FFFFFF"/>
          </w:tcPr>
          <w:p w14:paraId="5675EC5A"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04F920D9"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646DEABD"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67D3408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2E607701"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45C23F0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3"/>
            <w:shd w:val="clear" w:color="auto" w:fill="FFFFFF"/>
          </w:tcPr>
          <w:p w14:paraId="47F8A4F7"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69" w:type="dxa"/>
            <w:gridSpan w:val="3"/>
            <w:shd w:val="clear" w:color="auto" w:fill="FFFFFF"/>
          </w:tcPr>
          <w:p w14:paraId="28DD8521"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5548FDF5"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gridSpan w:val="2"/>
            <w:shd w:val="clear" w:color="auto" w:fill="FFFFFF"/>
          </w:tcPr>
          <w:p w14:paraId="6C4377F8"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570" w:type="dxa"/>
            <w:shd w:val="clear" w:color="auto" w:fill="FFFFFF"/>
          </w:tcPr>
          <w:p w14:paraId="735E485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1547" w:type="dxa"/>
            <w:gridSpan w:val="3"/>
            <w:shd w:val="clear" w:color="auto" w:fill="FFFFFF"/>
          </w:tcPr>
          <w:p w14:paraId="030B5848"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r>
      <w:tr w:rsidR="00164109" w:rsidRPr="00055E6A" w14:paraId="4E4D65A2" w14:textId="77777777" w:rsidTr="00997877">
        <w:trPr>
          <w:gridAfter w:val="1"/>
          <w:wAfter w:w="10" w:type="dxa"/>
          <w:trHeight w:val="348"/>
        </w:trPr>
        <w:tc>
          <w:tcPr>
            <w:tcW w:w="2243" w:type="dxa"/>
            <w:gridSpan w:val="2"/>
            <w:shd w:val="clear" w:color="auto" w:fill="FFFFFF"/>
            <w:vAlign w:val="center"/>
          </w:tcPr>
          <w:p w14:paraId="5904F19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 xml:space="preserve">Źródła finansowania </w:t>
            </w:r>
          </w:p>
        </w:tc>
        <w:tc>
          <w:tcPr>
            <w:tcW w:w="8694" w:type="dxa"/>
            <w:gridSpan w:val="27"/>
            <w:shd w:val="clear" w:color="auto" w:fill="FFFFFF"/>
            <w:vAlign w:val="center"/>
          </w:tcPr>
          <w:p w14:paraId="2DB4AA69" w14:textId="77777777" w:rsidR="00164109" w:rsidRPr="00055E6A" w:rsidRDefault="00164109" w:rsidP="00164109">
            <w:pPr>
              <w:spacing w:after="0" w:line="240" w:lineRule="auto"/>
              <w:jc w:val="both"/>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Nie dotyczy.</w:t>
            </w:r>
          </w:p>
          <w:p w14:paraId="06FA4A5A" w14:textId="77777777" w:rsidR="00164109" w:rsidRPr="00055E6A" w:rsidRDefault="00164109" w:rsidP="00164109">
            <w:pPr>
              <w:spacing w:after="0" w:line="240" w:lineRule="auto"/>
              <w:jc w:val="both"/>
              <w:rPr>
                <w:rFonts w:ascii="Times New Roman" w:eastAsia="Calibri" w:hAnsi="Times New Roman" w:cs="Times New Roman"/>
                <w:color w:val="000000"/>
                <w:sz w:val="21"/>
                <w:szCs w:val="21"/>
              </w:rPr>
            </w:pPr>
          </w:p>
          <w:p w14:paraId="4B0307C1" w14:textId="77777777" w:rsidR="00164109" w:rsidRPr="00055E6A" w:rsidRDefault="00164109" w:rsidP="00164109">
            <w:pPr>
              <w:spacing w:after="0" w:line="240" w:lineRule="auto"/>
              <w:jc w:val="both"/>
              <w:rPr>
                <w:rFonts w:ascii="Times New Roman" w:eastAsia="Calibri" w:hAnsi="Times New Roman" w:cs="Times New Roman"/>
                <w:color w:val="000000"/>
                <w:sz w:val="21"/>
                <w:szCs w:val="21"/>
              </w:rPr>
            </w:pPr>
          </w:p>
        </w:tc>
      </w:tr>
      <w:tr w:rsidR="00164109" w:rsidRPr="00055E6A" w14:paraId="2A7B3926" w14:textId="77777777" w:rsidTr="00997877">
        <w:trPr>
          <w:gridAfter w:val="1"/>
          <w:wAfter w:w="10" w:type="dxa"/>
          <w:trHeight w:val="1926"/>
        </w:trPr>
        <w:tc>
          <w:tcPr>
            <w:tcW w:w="2243" w:type="dxa"/>
            <w:gridSpan w:val="2"/>
            <w:shd w:val="clear" w:color="auto" w:fill="FFFFFF"/>
          </w:tcPr>
          <w:p w14:paraId="0A40CE9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Dodatkowe informacje, w tym wskazanie źródeł danych i przyjętych do obliczeń założeń</w:t>
            </w:r>
          </w:p>
        </w:tc>
        <w:tc>
          <w:tcPr>
            <w:tcW w:w="8694" w:type="dxa"/>
            <w:gridSpan w:val="27"/>
            <w:shd w:val="clear" w:color="auto" w:fill="FFFFFF"/>
          </w:tcPr>
          <w:p w14:paraId="73436A46" w14:textId="77777777" w:rsidR="00164109" w:rsidRPr="00055E6A" w:rsidRDefault="00164109" w:rsidP="00164109">
            <w:pPr>
              <w:spacing w:after="0" w:line="240" w:lineRule="auto"/>
              <w:jc w:val="both"/>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Nie przewiduje się wpływu projektowanego rozporządzenia na sektor finansów publicznych.</w:t>
            </w:r>
          </w:p>
          <w:p w14:paraId="7C50E853" w14:textId="77777777" w:rsidR="00164109" w:rsidRPr="00055E6A" w:rsidRDefault="00164109" w:rsidP="00164109">
            <w:pPr>
              <w:spacing w:after="0" w:line="240" w:lineRule="auto"/>
              <w:jc w:val="both"/>
              <w:rPr>
                <w:rFonts w:ascii="Times New Roman" w:eastAsia="Calibri" w:hAnsi="Times New Roman" w:cs="Times New Roman"/>
                <w:color w:val="000000"/>
                <w:sz w:val="21"/>
                <w:szCs w:val="21"/>
              </w:rPr>
            </w:pPr>
          </w:p>
          <w:p w14:paraId="46EDC3BE" w14:textId="77777777" w:rsidR="00164109" w:rsidRPr="00055E6A" w:rsidRDefault="00164109" w:rsidP="00164109">
            <w:pPr>
              <w:spacing w:after="0" w:line="240" w:lineRule="auto"/>
              <w:jc w:val="both"/>
              <w:rPr>
                <w:rFonts w:ascii="Times New Roman" w:eastAsia="Calibri" w:hAnsi="Times New Roman" w:cs="Times New Roman"/>
                <w:color w:val="000000"/>
                <w:sz w:val="21"/>
                <w:szCs w:val="21"/>
              </w:rPr>
            </w:pPr>
          </w:p>
        </w:tc>
      </w:tr>
      <w:tr w:rsidR="00164109" w:rsidRPr="00055E6A" w14:paraId="0B6FF618" w14:textId="77777777" w:rsidTr="00997877">
        <w:trPr>
          <w:gridAfter w:val="1"/>
          <w:wAfter w:w="10" w:type="dxa"/>
          <w:trHeight w:val="345"/>
        </w:trPr>
        <w:tc>
          <w:tcPr>
            <w:tcW w:w="10937" w:type="dxa"/>
            <w:gridSpan w:val="29"/>
            <w:shd w:val="clear" w:color="auto" w:fill="99CCFF"/>
          </w:tcPr>
          <w:p w14:paraId="544C3A93" w14:textId="77777777" w:rsidR="00164109" w:rsidRPr="00055E6A" w:rsidRDefault="00164109" w:rsidP="00164109">
            <w:pPr>
              <w:widowControl w:val="0"/>
              <w:numPr>
                <w:ilvl w:val="0"/>
                <w:numId w:val="1"/>
              </w:numPr>
              <w:suppressAutoHyphens/>
              <w:spacing w:before="120" w:after="120" w:line="240" w:lineRule="auto"/>
              <w:jc w:val="both"/>
              <w:rPr>
                <w:rFonts w:ascii="Times New Roman" w:eastAsia="Calibri" w:hAnsi="Times New Roman" w:cs="Times New Roman"/>
                <w:b/>
                <w:color w:val="000000"/>
                <w:spacing w:val="-2"/>
              </w:rPr>
            </w:pPr>
            <w:r w:rsidRPr="00055E6A">
              <w:rPr>
                <w:rFonts w:ascii="Times New Roman" w:eastAsia="Calibri" w:hAnsi="Times New Roman" w:cs="Times New Roman"/>
                <w:b/>
                <w:color w:val="000000"/>
                <w:spacing w:val="-2"/>
              </w:rPr>
              <w:t xml:space="preserve">Wpływ na </w:t>
            </w:r>
            <w:r w:rsidRPr="00055E6A">
              <w:rPr>
                <w:rFonts w:ascii="Times New Roman" w:eastAsia="Calibri" w:hAnsi="Times New Roman" w:cs="Times New Roman"/>
                <w:b/>
                <w:color w:val="000000"/>
              </w:rPr>
              <w:t xml:space="preserve">konkurencyjność gospodarki i przedsiębiorczość, w tym funkcjonowanie przedsiębiorców oraz na rodzinę, obywateli i gospodarstwa domowe </w:t>
            </w:r>
          </w:p>
        </w:tc>
      </w:tr>
      <w:tr w:rsidR="00164109" w:rsidRPr="00055E6A" w14:paraId="07050667" w14:textId="77777777" w:rsidTr="00997877">
        <w:trPr>
          <w:gridAfter w:val="1"/>
          <w:wAfter w:w="10" w:type="dxa"/>
          <w:trHeight w:val="142"/>
        </w:trPr>
        <w:tc>
          <w:tcPr>
            <w:tcW w:w="10937" w:type="dxa"/>
            <w:gridSpan w:val="29"/>
            <w:shd w:val="clear" w:color="auto" w:fill="FFFFFF"/>
          </w:tcPr>
          <w:p w14:paraId="61409E47" w14:textId="77777777" w:rsidR="00164109" w:rsidRPr="00055E6A" w:rsidRDefault="00164109" w:rsidP="00164109">
            <w:pPr>
              <w:spacing w:after="0" w:line="240" w:lineRule="auto"/>
              <w:jc w:val="center"/>
              <w:rPr>
                <w:rFonts w:ascii="Times New Roman" w:eastAsia="Calibri" w:hAnsi="Times New Roman" w:cs="Times New Roman"/>
                <w:color w:val="000000"/>
                <w:spacing w:val="-2"/>
                <w:sz w:val="21"/>
                <w:szCs w:val="21"/>
              </w:rPr>
            </w:pPr>
            <w:r w:rsidRPr="00055E6A">
              <w:rPr>
                <w:rFonts w:ascii="Times New Roman" w:eastAsia="Calibri" w:hAnsi="Times New Roman" w:cs="Times New Roman"/>
                <w:color w:val="000000"/>
                <w:spacing w:val="-2"/>
                <w:sz w:val="21"/>
                <w:szCs w:val="21"/>
              </w:rPr>
              <w:t>Skutki</w:t>
            </w:r>
          </w:p>
        </w:tc>
      </w:tr>
      <w:tr w:rsidR="00164109" w:rsidRPr="00055E6A" w14:paraId="1B231EBD" w14:textId="77777777" w:rsidTr="00997877">
        <w:trPr>
          <w:gridAfter w:val="1"/>
          <w:wAfter w:w="10" w:type="dxa"/>
          <w:trHeight w:val="142"/>
        </w:trPr>
        <w:tc>
          <w:tcPr>
            <w:tcW w:w="3889" w:type="dxa"/>
            <w:gridSpan w:val="7"/>
            <w:shd w:val="clear" w:color="auto" w:fill="FFFFFF"/>
          </w:tcPr>
          <w:p w14:paraId="66D3538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Czas w latach od wejścia w życie zmian</w:t>
            </w:r>
          </w:p>
        </w:tc>
        <w:tc>
          <w:tcPr>
            <w:tcW w:w="937" w:type="dxa"/>
            <w:gridSpan w:val="2"/>
            <w:shd w:val="clear" w:color="auto" w:fill="FFFFFF"/>
          </w:tcPr>
          <w:p w14:paraId="5437CE56"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0</w:t>
            </w:r>
          </w:p>
        </w:tc>
        <w:tc>
          <w:tcPr>
            <w:tcW w:w="938" w:type="dxa"/>
            <w:gridSpan w:val="5"/>
            <w:shd w:val="clear" w:color="auto" w:fill="FFFFFF"/>
          </w:tcPr>
          <w:p w14:paraId="7BF39BD8"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1</w:t>
            </w:r>
          </w:p>
        </w:tc>
        <w:tc>
          <w:tcPr>
            <w:tcW w:w="938" w:type="dxa"/>
            <w:gridSpan w:val="4"/>
            <w:shd w:val="clear" w:color="auto" w:fill="FFFFFF"/>
          </w:tcPr>
          <w:p w14:paraId="4BAEAF2B"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2</w:t>
            </w:r>
          </w:p>
        </w:tc>
        <w:tc>
          <w:tcPr>
            <w:tcW w:w="937" w:type="dxa"/>
            <w:gridSpan w:val="3"/>
            <w:shd w:val="clear" w:color="auto" w:fill="FFFFFF"/>
          </w:tcPr>
          <w:p w14:paraId="0782EEA6"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3</w:t>
            </w:r>
          </w:p>
        </w:tc>
        <w:tc>
          <w:tcPr>
            <w:tcW w:w="938" w:type="dxa"/>
            <w:gridSpan w:val="4"/>
            <w:shd w:val="clear" w:color="auto" w:fill="FFFFFF"/>
          </w:tcPr>
          <w:p w14:paraId="450A0A9B"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5</w:t>
            </w:r>
          </w:p>
        </w:tc>
        <w:tc>
          <w:tcPr>
            <w:tcW w:w="938" w:type="dxa"/>
            <w:gridSpan w:val="3"/>
            <w:shd w:val="clear" w:color="auto" w:fill="FFFFFF"/>
          </w:tcPr>
          <w:p w14:paraId="2D45ADE8" w14:textId="77777777" w:rsidR="00164109" w:rsidRPr="00055E6A" w:rsidRDefault="00164109" w:rsidP="00164109">
            <w:pPr>
              <w:spacing w:after="0" w:line="240" w:lineRule="auto"/>
              <w:jc w:val="center"/>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10</w:t>
            </w:r>
          </w:p>
        </w:tc>
        <w:tc>
          <w:tcPr>
            <w:tcW w:w="1422" w:type="dxa"/>
            <w:shd w:val="clear" w:color="auto" w:fill="FFFFFF"/>
          </w:tcPr>
          <w:p w14:paraId="652D6FB3" w14:textId="77777777" w:rsidR="00164109" w:rsidRPr="00055E6A" w:rsidRDefault="00164109" w:rsidP="00164109">
            <w:pPr>
              <w:spacing w:after="0" w:line="240" w:lineRule="auto"/>
              <w:jc w:val="center"/>
              <w:rPr>
                <w:rFonts w:ascii="Times New Roman" w:eastAsia="Calibri" w:hAnsi="Times New Roman" w:cs="Times New Roman"/>
                <w:i/>
                <w:color w:val="000000"/>
                <w:spacing w:val="-2"/>
                <w:sz w:val="21"/>
                <w:szCs w:val="21"/>
              </w:rPr>
            </w:pPr>
            <w:r w:rsidRPr="00055E6A">
              <w:rPr>
                <w:rFonts w:ascii="Times New Roman" w:eastAsia="Calibri" w:hAnsi="Times New Roman" w:cs="Times New Roman"/>
                <w:i/>
                <w:color w:val="000000"/>
                <w:spacing w:val="-2"/>
                <w:sz w:val="21"/>
                <w:szCs w:val="21"/>
              </w:rPr>
              <w:t>Łącznie</w:t>
            </w:r>
            <w:r w:rsidRPr="00055E6A" w:rsidDel="0073273A">
              <w:rPr>
                <w:rFonts w:ascii="Times New Roman" w:eastAsia="Calibri" w:hAnsi="Times New Roman" w:cs="Times New Roman"/>
                <w:i/>
                <w:color w:val="000000"/>
                <w:spacing w:val="-2"/>
                <w:sz w:val="21"/>
                <w:szCs w:val="21"/>
              </w:rPr>
              <w:t xml:space="preserve"> </w:t>
            </w:r>
            <w:r w:rsidRPr="00055E6A">
              <w:rPr>
                <w:rFonts w:ascii="Times New Roman" w:eastAsia="Calibri" w:hAnsi="Times New Roman" w:cs="Times New Roman"/>
                <w:i/>
                <w:color w:val="000000"/>
                <w:spacing w:val="-2"/>
                <w:sz w:val="21"/>
                <w:szCs w:val="21"/>
              </w:rPr>
              <w:t>(0-10)</w:t>
            </w:r>
          </w:p>
        </w:tc>
      </w:tr>
      <w:tr w:rsidR="00164109" w:rsidRPr="00055E6A" w14:paraId="4DCBB499" w14:textId="77777777" w:rsidTr="00997877">
        <w:trPr>
          <w:gridAfter w:val="1"/>
          <w:wAfter w:w="10" w:type="dxa"/>
          <w:trHeight w:val="142"/>
        </w:trPr>
        <w:tc>
          <w:tcPr>
            <w:tcW w:w="1596" w:type="dxa"/>
            <w:vMerge w:val="restart"/>
            <w:shd w:val="clear" w:color="auto" w:fill="FFFFFF"/>
          </w:tcPr>
          <w:p w14:paraId="2D5F040A" w14:textId="77777777" w:rsidR="00164109" w:rsidRPr="00055E6A" w:rsidRDefault="00164109" w:rsidP="00164109">
            <w:pPr>
              <w:spacing w:after="0" w:line="276"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W ujęciu pieniężnym</w:t>
            </w:r>
          </w:p>
          <w:p w14:paraId="312AC322" w14:textId="77777777" w:rsidR="00164109" w:rsidRPr="00055E6A" w:rsidRDefault="00164109" w:rsidP="00164109">
            <w:pPr>
              <w:spacing w:after="0" w:line="276" w:lineRule="auto"/>
              <w:rPr>
                <w:rFonts w:ascii="Times New Roman" w:eastAsia="Calibri" w:hAnsi="Times New Roman" w:cs="Times New Roman"/>
                <w:spacing w:val="-2"/>
                <w:sz w:val="21"/>
                <w:szCs w:val="21"/>
              </w:rPr>
            </w:pPr>
            <w:r w:rsidRPr="00055E6A">
              <w:rPr>
                <w:rFonts w:ascii="Times New Roman" w:eastAsia="Calibri" w:hAnsi="Times New Roman" w:cs="Times New Roman"/>
                <w:spacing w:val="-2"/>
                <w:sz w:val="21"/>
                <w:szCs w:val="21"/>
              </w:rPr>
              <w:t xml:space="preserve">(w mln zł, </w:t>
            </w:r>
          </w:p>
          <w:p w14:paraId="508CBE7A"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spacing w:val="-2"/>
                <w:sz w:val="21"/>
                <w:szCs w:val="21"/>
              </w:rPr>
              <w:t>ceny stałe z …… r.)</w:t>
            </w:r>
          </w:p>
        </w:tc>
        <w:tc>
          <w:tcPr>
            <w:tcW w:w="2293" w:type="dxa"/>
            <w:gridSpan w:val="6"/>
            <w:shd w:val="clear" w:color="auto" w:fill="FFFFFF"/>
          </w:tcPr>
          <w:p w14:paraId="427420F7"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duże przedsiębiorstwa</w:t>
            </w:r>
          </w:p>
        </w:tc>
        <w:tc>
          <w:tcPr>
            <w:tcW w:w="937" w:type="dxa"/>
            <w:gridSpan w:val="2"/>
            <w:shd w:val="clear" w:color="auto" w:fill="FFFFFF"/>
          </w:tcPr>
          <w:p w14:paraId="7C218AFA"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5"/>
            <w:shd w:val="clear" w:color="auto" w:fill="FFFFFF"/>
          </w:tcPr>
          <w:p w14:paraId="2DDDA490"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4"/>
            <w:shd w:val="clear" w:color="auto" w:fill="FFFFFF"/>
          </w:tcPr>
          <w:p w14:paraId="2AFEF903"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7" w:type="dxa"/>
            <w:gridSpan w:val="3"/>
            <w:shd w:val="clear" w:color="auto" w:fill="FFFFFF"/>
          </w:tcPr>
          <w:p w14:paraId="12A3B39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4"/>
            <w:shd w:val="clear" w:color="auto" w:fill="FFFFFF"/>
          </w:tcPr>
          <w:p w14:paraId="2D2E91D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3"/>
            <w:shd w:val="clear" w:color="auto" w:fill="FFFFFF"/>
          </w:tcPr>
          <w:p w14:paraId="6E9D859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1422" w:type="dxa"/>
            <w:shd w:val="clear" w:color="auto" w:fill="FFFFFF"/>
          </w:tcPr>
          <w:p w14:paraId="2C1C1E86" w14:textId="77777777" w:rsidR="00164109" w:rsidRPr="00055E6A" w:rsidRDefault="00164109" w:rsidP="00164109">
            <w:pPr>
              <w:spacing w:after="0" w:line="240" w:lineRule="auto"/>
              <w:rPr>
                <w:rFonts w:ascii="Times New Roman" w:eastAsia="Calibri" w:hAnsi="Times New Roman" w:cs="Times New Roman"/>
                <w:color w:val="000000"/>
                <w:spacing w:val="-2"/>
                <w:sz w:val="21"/>
                <w:szCs w:val="21"/>
              </w:rPr>
            </w:pPr>
          </w:p>
        </w:tc>
      </w:tr>
      <w:tr w:rsidR="00164109" w:rsidRPr="00055E6A" w14:paraId="27A647F2" w14:textId="77777777" w:rsidTr="00997877">
        <w:trPr>
          <w:gridAfter w:val="1"/>
          <w:wAfter w:w="10" w:type="dxa"/>
          <w:trHeight w:val="142"/>
        </w:trPr>
        <w:tc>
          <w:tcPr>
            <w:tcW w:w="1596" w:type="dxa"/>
            <w:vMerge/>
            <w:shd w:val="clear" w:color="auto" w:fill="FFFFFF"/>
          </w:tcPr>
          <w:p w14:paraId="1ADC3B15"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2293" w:type="dxa"/>
            <w:gridSpan w:val="6"/>
            <w:shd w:val="clear" w:color="auto" w:fill="FFFFFF"/>
          </w:tcPr>
          <w:p w14:paraId="0DD364E1"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sektor mikro-, małych i średnich przedsiębiorstw</w:t>
            </w:r>
          </w:p>
        </w:tc>
        <w:tc>
          <w:tcPr>
            <w:tcW w:w="937" w:type="dxa"/>
            <w:gridSpan w:val="2"/>
            <w:shd w:val="clear" w:color="auto" w:fill="FFFFFF"/>
          </w:tcPr>
          <w:p w14:paraId="01D1D3D3"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5"/>
            <w:shd w:val="clear" w:color="auto" w:fill="FFFFFF"/>
          </w:tcPr>
          <w:p w14:paraId="69B7EF1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4"/>
            <w:shd w:val="clear" w:color="auto" w:fill="FFFFFF"/>
          </w:tcPr>
          <w:p w14:paraId="505C09F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7" w:type="dxa"/>
            <w:gridSpan w:val="3"/>
            <w:shd w:val="clear" w:color="auto" w:fill="FFFFFF"/>
          </w:tcPr>
          <w:p w14:paraId="75F82E6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4"/>
            <w:shd w:val="clear" w:color="auto" w:fill="FFFFFF"/>
          </w:tcPr>
          <w:p w14:paraId="4D1A5E5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3"/>
            <w:shd w:val="clear" w:color="auto" w:fill="FFFFFF"/>
          </w:tcPr>
          <w:p w14:paraId="07A33AB5"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1422" w:type="dxa"/>
            <w:shd w:val="clear" w:color="auto" w:fill="FFFFFF"/>
          </w:tcPr>
          <w:p w14:paraId="1C0FDD37" w14:textId="77777777" w:rsidR="00164109" w:rsidRPr="00055E6A" w:rsidRDefault="00164109" w:rsidP="00164109">
            <w:pPr>
              <w:spacing w:after="0" w:line="240" w:lineRule="auto"/>
              <w:rPr>
                <w:rFonts w:ascii="Times New Roman" w:eastAsia="Calibri" w:hAnsi="Times New Roman" w:cs="Times New Roman"/>
                <w:color w:val="000000"/>
                <w:spacing w:val="-2"/>
                <w:sz w:val="21"/>
                <w:szCs w:val="21"/>
              </w:rPr>
            </w:pPr>
          </w:p>
        </w:tc>
      </w:tr>
      <w:tr w:rsidR="00164109" w:rsidRPr="00055E6A" w14:paraId="20DFCC3F" w14:textId="77777777" w:rsidTr="00997877">
        <w:trPr>
          <w:gridAfter w:val="1"/>
          <w:wAfter w:w="10" w:type="dxa"/>
          <w:trHeight w:val="142"/>
        </w:trPr>
        <w:tc>
          <w:tcPr>
            <w:tcW w:w="1596" w:type="dxa"/>
            <w:vMerge/>
            <w:shd w:val="clear" w:color="auto" w:fill="FFFFFF"/>
          </w:tcPr>
          <w:p w14:paraId="3122D4E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2293" w:type="dxa"/>
            <w:gridSpan w:val="6"/>
            <w:shd w:val="clear" w:color="auto" w:fill="FFFFFF"/>
          </w:tcPr>
          <w:p w14:paraId="204E480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sz w:val="21"/>
                <w:szCs w:val="21"/>
              </w:rPr>
              <w:t>rodzina, obywatele oraz gospodarstwa domowe</w:t>
            </w:r>
          </w:p>
        </w:tc>
        <w:tc>
          <w:tcPr>
            <w:tcW w:w="937" w:type="dxa"/>
            <w:gridSpan w:val="2"/>
            <w:shd w:val="clear" w:color="auto" w:fill="FFFFFF"/>
          </w:tcPr>
          <w:p w14:paraId="762F2C61"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5"/>
            <w:shd w:val="clear" w:color="auto" w:fill="FFFFFF"/>
          </w:tcPr>
          <w:p w14:paraId="0AC689A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4"/>
            <w:shd w:val="clear" w:color="auto" w:fill="FFFFFF"/>
          </w:tcPr>
          <w:p w14:paraId="7D9B0A8D"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7" w:type="dxa"/>
            <w:gridSpan w:val="3"/>
            <w:shd w:val="clear" w:color="auto" w:fill="FFFFFF"/>
          </w:tcPr>
          <w:p w14:paraId="3FF0C958"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4"/>
            <w:shd w:val="clear" w:color="auto" w:fill="FFFFFF"/>
          </w:tcPr>
          <w:p w14:paraId="13691435"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3"/>
            <w:shd w:val="clear" w:color="auto" w:fill="FFFFFF"/>
          </w:tcPr>
          <w:p w14:paraId="4138E38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1422" w:type="dxa"/>
            <w:shd w:val="clear" w:color="auto" w:fill="FFFFFF"/>
          </w:tcPr>
          <w:p w14:paraId="3E7EC888" w14:textId="77777777" w:rsidR="00164109" w:rsidRPr="00055E6A" w:rsidRDefault="00164109" w:rsidP="00164109">
            <w:pPr>
              <w:spacing w:after="0" w:line="240" w:lineRule="auto"/>
              <w:rPr>
                <w:rFonts w:ascii="Times New Roman" w:eastAsia="Calibri" w:hAnsi="Times New Roman" w:cs="Times New Roman"/>
                <w:color w:val="000000"/>
                <w:spacing w:val="-2"/>
                <w:sz w:val="21"/>
                <w:szCs w:val="21"/>
              </w:rPr>
            </w:pPr>
          </w:p>
        </w:tc>
      </w:tr>
      <w:tr w:rsidR="00164109" w:rsidRPr="00055E6A" w14:paraId="4C154FF2" w14:textId="77777777" w:rsidTr="00997877">
        <w:trPr>
          <w:gridAfter w:val="1"/>
          <w:wAfter w:w="10" w:type="dxa"/>
          <w:trHeight w:val="142"/>
        </w:trPr>
        <w:tc>
          <w:tcPr>
            <w:tcW w:w="1596" w:type="dxa"/>
            <w:vMerge/>
            <w:shd w:val="clear" w:color="auto" w:fill="FFFFFF"/>
          </w:tcPr>
          <w:p w14:paraId="44AB4143"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2293" w:type="dxa"/>
            <w:gridSpan w:val="6"/>
            <w:shd w:val="clear" w:color="auto" w:fill="FFFFFF"/>
          </w:tcPr>
          <w:p w14:paraId="78F37FE7" w14:textId="2D8C35CF"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7" w:type="dxa"/>
            <w:gridSpan w:val="2"/>
            <w:shd w:val="clear" w:color="auto" w:fill="FFFFFF"/>
          </w:tcPr>
          <w:p w14:paraId="307EB595"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5"/>
            <w:shd w:val="clear" w:color="auto" w:fill="FFFFFF"/>
          </w:tcPr>
          <w:p w14:paraId="0808E7E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4"/>
            <w:shd w:val="clear" w:color="auto" w:fill="FFFFFF"/>
          </w:tcPr>
          <w:p w14:paraId="58B63DEC"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7" w:type="dxa"/>
            <w:gridSpan w:val="3"/>
            <w:shd w:val="clear" w:color="auto" w:fill="FFFFFF"/>
          </w:tcPr>
          <w:p w14:paraId="627263DE"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4"/>
            <w:shd w:val="clear" w:color="auto" w:fill="FFFFFF"/>
          </w:tcPr>
          <w:p w14:paraId="596E3362"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938" w:type="dxa"/>
            <w:gridSpan w:val="3"/>
            <w:shd w:val="clear" w:color="auto" w:fill="FFFFFF"/>
          </w:tcPr>
          <w:p w14:paraId="73B61A7A"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1422" w:type="dxa"/>
            <w:shd w:val="clear" w:color="auto" w:fill="FFFFFF"/>
          </w:tcPr>
          <w:p w14:paraId="2C22BF65" w14:textId="77777777" w:rsidR="00164109" w:rsidRPr="00055E6A" w:rsidRDefault="00164109" w:rsidP="00164109">
            <w:pPr>
              <w:spacing w:after="0" w:line="240" w:lineRule="auto"/>
              <w:rPr>
                <w:rFonts w:ascii="Times New Roman" w:eastAsia="Calibri" w:hAnsi="Times New Roman" w:cs="Times New Roman"/>
                <w:color w:val="000000"/>
                <w:spacing w:val="-2"/>
                <w:sz w:val="21"/>
                <w:szCs w:val="21"/>
              </w:rPr>
            </w:pPr>
          </w:p>
        </w:tc>
      </w:tr>
      <w:tr w:rsidR="00164109" w:rsidRPr="00055E6A" w14:paraId="698807FA" w14:textId="77777777" w:rsidTr="00997877">
        <w:trPr>
          <w:gridAfter w:val="1"/>
          <w:wAfter w:w="10" w:type="dxa"/>
          <w:trHeight w:val="142"/>
        </w:trPr>
        <w:tc>
          <w:tcPr>
            <w:tcW w:w="1596" w:type="dxa"/>
            <w:vMerge w:val="restart"/>
            <w:shd w:val="clear" w:color="auto" w:fill="FFFFFF"/>
          </w:tcPr>
          <w:p w14:paraId="68A8D0FA"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W ujęciu niepieniężnym</w:t>
            </w:r>
          </w:p>
        </w:tc>
        <w:tc>
          <w:tcPr>
            <w:tcW w:w="2293" w:type="dxa"/>
            <w:gridSpan w:val="6"/>
            <w:shd w:val="clear" w:color="auto" w:fill="FFFFFF"/>
          </w:tcPr>
          <w:p w14:paraId="2F65ED66"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duże przedsiębiorstwa</w:t>
            </w:r>
          </w:p>
        </w:tc>
        <w:tc>
          <w:tcPr>
            <w:tcW w:w="7048" w:type="dxa"/>
            <w:gridSpan w:val="22"/>
            <w:shd w:val="clear" w:color="auto" w:fill="FFFFFF"/>
          </w:tcPr>
          <w:p w14:paraId="74512F14" w14:textId="77777777" w:rsidR="00164109" w:rsidRPr="00055E6A" w:rsidRDefault="00164109" w:rsidP="00164109">
            <w:pPr>
              <w:spacing w:after="0" w:line="240" w:lineRule="auto"/>
              <w:rPr>
                <w:rFonts w:ascii="Times New Roman" w:eastAsia="Calibri" w:hAnsi="Times New Roman" w:cs="Times New Roman"/>
                <w:color w:val="000000"/>
                <w:spacing w:val="-2"/>
                <w:sz w:val="21"/>
                <w:szCs w:val="21"/>
              </w:rPr>
            </w:pPr>
            <w:r w:rsidRPr="00055E6A">
              <w:rPr>
                <w:rFonts w:ascii="Times New Roman" w:eastAsia="Calibri" w:hAnsi="Times New Roman" w:cs="Times New Roman"/>
                <w:color w:val="000000"/>
                <w:spacing w:val="-2"/>
                <w:sz w:val="21"/>
                <w:szCs w:val="21"/>
              </w:rPr>
              <w:t>Brak wpływu</w:t>
            </w:r>
          </w:p>
        </w:tc>
      </w:tr>
      <w:tr w:rsidR="00164109" w:rsidRPr="00055E6A" w14:paraId="36303349" w14:textId="77777777" w:rsidTr="00997877">
        <w:trPr>
          <w:gridAfter w:val="1"/>
          <w:wAfter w:w="10" w:type="dxa"/>
          <w:trHeight w:val="142"/>
        </w:trPr>
        <w:tc>
          <w:tcPr>
            <w:tcW w:w="1596" w:type="dxa"/>
            <w:vMerge/>
            <w:shd w:val="clear" w:color="auto" w:fill="FFFFFF"/>
          </w:tcPr>
          <w:p w14:paraId="22A6E973"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2293" w:type="dxa"/>
            <w:gridSpan w:val="6"/>
            <w:shd w:val="clear" w:color="auto" w:fill="FFFFFF"/>
          </w:tcPr>
          <w:p w14:paraId="78569C44"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sektor mikro-, małych i średnich przedsiębiorstw</w:t>
            </w:r>
          </w:p>
        </w:tc>
        <w:tc>
          <w:tcPr>
            <w:tcW w:w="7048" w:type="dxa"/>
            <w:gridSpan w:val="22"/>
            <w:shd w:val="clear" w:color="auto" w:fill="FFFFFF"/>
          </w:tcPr>
          <w:p w14:paraId="2DB5E573" w14:textId="77777777" w:rsidR="00164109" w:rsidRPr="00055E6A" w:rsidRDefault="00164109" w:rsidP="00164109">
            <w:pPr>
              <w:spacing w:after="0" w:line="240" w:lineRule="auto"/>
              <w:rPr>
                <w:rFonts w:ascii="Times New Roman" w:eastAsia="Calibri" w:hAnsi="Times New Roman" w:cs="Times New Roman"/>
                <w:color w:val="000000"/>
                <w:spacing w:val="-2"/>
                <w:sz w:val="21"/>
                <w:szCs w:val="21"/>
              </w:rPr>
            </w:pPr>
            <w:r w:rsidRPr="00055E6A">
              <w:rPr>
                <w:rFonts w:ascii="Times New Roman" w:eastAsia="Calibri" w:hAnsi="Times New Roman" w:cs="Times New Roman"/>
                <w:color w:val="000000"/>
                <w:spacing w:val="-2"/>
                <w:sz w:val="21"/>
                <w:szCs w:val="21"/>
              </w:rPr>
              <w:t>Brak wpływu</w:t>
            </w:r>
          </w:p>
        </w:tc>
      </w:tr>
      <w:tr w:rsidR="00164109" w:rsidRPr="00055E6A" w14:paraId="0ED15A5D" w14:textId="77777777" w:rsidTr="00997877">
        <w:trPr>
          <w:gridAfter w:val="1"/>
          <w:wAfter w:w="10" w:type="dxa"/>
          <w:trHeight w:val="596"/>
        </w:trPr>
        <w:tc>
          <w:tcPr>
            <w:tcW w:w="1596" w:type="dxa"/>
            <w:vMerge/>
            <w:shd w:val="clear" w:color="auto" w:fill="FFFFFF"/>
          </w:tcPr>
          <w:p w14:paraId="722C4E6F"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2293" w:type="dxa"/>
            <w:gridSpan w:val="6"/>
            <w:shd w:val="clear" w:color="auto" w:fill="FFFFFF"/>
          </w:tcPr>
          <w:p w14:paraId="28C9ED24" w14:textId="63303FAA" w:rsidR="00164109" w:rsidRPr="00055E6A" w:rsidRDefault="00164109" w:rsidP="00164109">
            <w:pPr>
              <w:tabs>
                <w:tab w:val="right" w:pos="1936"/>
              </w:tabs>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sz w:val="21"/>
                <w:szCs w:val="21"/>
              </w:rPr>
              <w:t>rodzina, obywatele oraz gospodarstwa domowe</w:t>
            </w:r>
            <w:r w:rsidR="00EF06D3">
              <w:rPr>
                <w:rFonts w:ascii="Times New Roman" w:eastAsia="Calibri" w:hAnsi="Times New Roman" w:cs="Times New Roman"/>
                <w:sz w:val="21"/>
                <w:szCs w:val="21"/>
              </w:rPr>
              <w:t xml:space="preserve">, w tym na osoby </w:t>
            </w:r>
            <w:r w:rsidR="00EF06D3" w:rsidRPr="00EF06D3">
              <w:rPr>
                <w:rFonts w:ascii="Times New Roman" w:eastAsia="Calibri" w:hAnsi="Times New Roman" w:cs="Times New Roman"/>
                <w:sz w:val="21"/>
                <w:szCs w:val="21"/>
              </w:rPr>
              <w:t>niepełnosprawn</w:t>
            </w:r>
            <w:r w:rsidR="00EF06D3">
              <w:rPr>
                <w:rFonts w:ascii="Times New Roman" w:eastAsia="Calibri" w:hAnsi="Times New Roman" w:cs="Times New Roman"/>
                <w:sz w:val="21"/>
                <w:szCs w:val="21"/>
              </w:rPr>
              <w:t>e</w:t>
            </w:r>
            <w:r w:rsidR="00EF06D3" w:rsidRPr="00EF06D3">
              <w:rPr>
                <w:rFonts w:ascii="Times New Roman" w:eastAsia="Calibri" w:hAnsi="Times New Roman" w:cs="Times New Roman"/>
                <w:sz w:val="21"/>
                <w:szCs w:val="21"/>
              </w:rPr>
              <w:t xml:space="preserve"> oraz os</w:t>
            </w:r>
            <w:r w:rsidR="00EF06D3">
              <w:rPr>
                <w:rFonts w:ascii="Times New Roman" w:eastAsia="Calibri" w:hAnsi="Times New Roman" w:cs="Times New Roman"/>
                <w:sz w:val="21"/>
                <w:szCs w:val="21"/>
              </w:rPr>
              <w:t>oby</w:t>
            </w:r>
            <w:r w:rsidR="00EF06D3" w:rsidRPr="00EF06D3">
              <w:rPr>
                <w:rFonts w:ascii="Times New Roman" w:eastAsia="Calibri" w:hAnsi="Times New Roman" w:cs="Times New Roman"/>
                <w:sz w:val="21"/>
                <w:szCs w:val="21"/>
              </w:rPr>
              <w:t xml:space="preserve"> starsz</w:t>
            </w:r>
            <w:r w:rsidR="00EF06D3">
              <w:rPr>
                <w:rFonts w:ascii="Times New Roman" w:eastAsia="Calibri" w:hAnsi="Times New Roman" w:cs="Times New Roman"/>
                <w:sz w:val="21"/>
                <w:szCs w:val="21"/>
              </w:rPr>
              <w:t>e</w:t>
            </w:r>
            <w:r w:rsidRPr="00055E6A">
              <w:rPr>
                <w:rFonts w:ascii="Times New Roman" w:eastAsia="Calibri" w:hAnsi="Times New Roman" w:cs="Times New Roman"/>
                <w:color w:val="000000"/>
                <w:sz w:val="21"/>
                <w:szCs w:val="21"/>
              </w:rPr>
              <w:t xml:space="preserve"> </w:t>
            </w:r>
          </w:p>
        </w:tc>
        <w:tc>
          <w:tcPr>
            <w:tcW w:w="7048" w:type="dxa"/>
            <w:gridSpan w:val="22"/>
            <w:shd w:val="clear" w:color="auto" w:fill="FFFFFF"/>
          </w:tcPr>
          <w:p w14:paraId="659B3872" w14:textId="0755F59A" w:rsidR="00A71B60" w:rsidRPr="00905D7B" w:rsidRDefault="001F3F18" w:rsidP="001F3F18">
            <w:pPr>
              <w:spacing w:after="0" w:line="240" w:lineRule="auto"/>
              <w:rPr>
                <w:rFonts w:ascii="Times New Roman" w:eastAsia="Calibri" w:hAnsi="Times New Roman" w:cs="Times New Roman"/>
                <w:color w:val="000000"/>
                <w:spacing w:val="-2"/>
              </w:rPr>
            </w:pPr>
            <w:r>
              <w:rPr>
                <w:rFonts w:ascii="Times New Roman" w:eastAsia="Calibri" w:hAnsi="Times New Roman" w:cs="Times New Roman"/>
                <w:color w:val="000000"/>
                <w:spacing w:val="-2"/>
              </w:rPr>
              <w:t xml:space="preserve">Wpływ </w:t>
            </w:r>
            <w:r w:rsidR="00A71B60">
              <w:rPr>
                <w:rFonts w:ascii="Times New Roman" w:eastAsia="Calibri" w:hAnsi="Times New Roman" w:cs="Times New Roman"/>
                <w:color w:val="000000"/>
                <w:spacing w:val="-2"/>
              </w:rPr>
              <w:t>na obywateli</w:t>
            </w:r>
            <w:r>
              <w:rPr>
                <w:rFonts w:ascii="Times New Roman" w:eastAsia="Calibri" w:hAnsi="Times New Roman" w:cs="Times New Roman"/>
                <w:color w:val="000000"/>
                <w:spacing w:val="-2"/>
              </w:rPr>
              <w:t xml:space="preserve"> </w:t>
            </w:r>
            <w:r w:rsidR="002F748E">
              <w:rPr>
                <w:rFonts w:ascii="Times New Roman" w:eastAsia="Calibri" w:hAnsi="Times New Roman" w:cs="Times New Roman"/>
                <w:color w:val="000000"/>
                <w:spacing w:val="-2"/>
              </w:rPr>
              <w:t xml:space="preserve">(pacjentów) </w:t>
            </w:r>
            <w:r>
              <w:rPr>
                <w:rFonts w:ascii="Times New Roman" w:eastAsia="Calibri" w:hAnsi="Times New Roman" w:cs="Times New Roman"/>
                <w:color w:val="000000"/>
                <w:spacing w:val="-2"/>
              </w:rPr>
              <w:t xml:space="preserve">– </w:t>
            </w:r>
            <w:r w:rsidRPr="00055E6A">
              <w:rPr>
                <w:rFonts w:ascii="Times New Roman" w:eastAsia="Calibri" w:hAnsi="Times New Roman" w:cs="Times New Roman"/>
                <w:color w:val="000000"/>
                <w:spacing w:val="-2"/>
              </w:rPr>
              <w:t xml:space="preserve">weryfikowanie </w:t>
            </w:r>
            <w:r w:rsidR="007D26E5">
              <w:rPr>
                <w:rFonts w:ascii="Times New Roman" w:eastAsia="Calibri" w:hAnsi="Times New Roman" w:cs="Times New Roman"/>
                <w:color w:val="000000"/>
                <w:spacing w:val="-2"/>
              </w:rPr>
              <w:t>(</w:t>
            </w:r>
            <w:r w:rsidR="007D26E5" w:rsidRPr="00055E6A">
              <w:rPr>
                <w:rFonts w:ascii="Times New Roman" w:eastAsia="Calibri" w:hAnsi="Times New Roman" w:cs="Times New Roman"/>
                <w:color w:val="000000"/>
                <w:spacing w:val="-2"/>
              </w:rPr>
              <w:t>pod kątem uznanych standardów</w:t>
            </w:r>
            <w:r w:rsidR="007D26E5">
              <w:rPr>
                <w:rFonts w:ascii="Times New Roman" w:eastAsia="Calibri" w:hAnsi="Times New Roman" w:cs="Times New Roman"/>
                <w:color w:val="000000"/>
                <w:spacing w:val="-2"/>
              </w:rPr>
              <w:t>)</w:t>
            </w:r>
            <w:r w:rsidR="007D26E5" w:rsidRPr="00055E6A">
              <w:rPr>
                <w:rFonts w:ascii="Times New Roman" w:eastAsia="Calibri" w:hAnsi="Times New Roman" w:cs="Times New Roman"/>
                <w:color w:val="000000"/>
                <w:spacing w:val="-2"/>
              </w:rPr>
              <w:t xml:space="preserve"> </w:t>
            </w:r>
            <w:r w:rsidRPr="00055E6A">
              <w:rPr>
                <w:rFonts w:ascii="Times New Roman" w:eastAsia="Calibri" w:hAnsi="Times New Roman" w:cs="Times New Roman"/>
                <w:color w:val="000000"/>
                <w:spacing w:val="-2"/>
              </w:rPr>
              <w:t xml:space="preserve">codziennej praktyki </w:t>
            </w:r>
            <w:r w:rsidR="007D26E5">
              <w:rPr>
                <w:rFonts w:ascii="Times New Roman" w:eastAsia="Calibri" w:hAnsi="Times New Roman" w:cs="Times New Roman"/>
                <w:color w:val="000000"/>
                <w:spacing w:val="-2"/>
              </w:rPr>
              <w:t xml:space="preserve">jednostek ochrony zdrowia związanej ze stosowaniem promieniowania jonizującego </w:t>
            </w:r>
            <w:r>
              <w:rPr>
                <w:rFonts w:ascii="Times New Roman" w:eastAsia="Calibri" w:hAnsi="Times New Roman" w:cs="Times New Roman"/>
                <w:color w:val="000000"/>
                <w:spacing w:val="-2"/>
              </w:rPr>
              <w:t xml:space="preserve">w </w:t>
            </w:r>
            <w:r w:rsidR="007D26E5">
              <w:rPr>
                <w:rFonts w:ascii="Times New Roman" w:eastAsia="Calibri" w:hAnsi="Times New Roman" w:cs="Times New Roman"/>
                <w:color w:val="000000"/>
                <w:spacing w:val="-2"/>
              </w:rPr>
              <w:t xml:space="preserve">zakresie </w:t>
            </w:r>
            <w:r>
              <w:rPr>
                <w:rFonts w:ascii="Times New Roman" w:eastAsia="Calibri" w:hAnsi="Times New Roman" w:cs="Times New Roman"/>
                <w:color w:val="000000"/>
                <w:spacing w:val="-2"/>
              </w:rPr>
              <w:t xml:space="preserve">określonym w rozporządzeniu będzie miało </w:t>
            </w:r>
            <w:r w:rsidR="000322A5">
              <w:rPr>
                <w:rFonts w:ascii="Times New Roman" w:eastAsia="Calibri" w:hAnsi="Times New Roman" w:cs="Times New Roman"/>
                <w:color w:val="000000"/>
                <w:spacing w:val="-2"/>
              </w:rPr>
              <w:t xml:space="preserve">pozytywny </w:t>
            </w:r>
            <w:r>
              <w:rPr>
                <w:rFonts w:ascii="Times New Roman" w:eastAsia="Calibri" w:hAnsi="Times New Roman" w:cs="Times New Roman"/>
                <w:color w:val="000000"/>
                <w:spacing w:val="-2"/>
              </w:rPr>
              <w:t xml:space="preserve">wpływ na pacjentów </w:t>
            </w:r>
            <w:r w:rsidR="000322A5">
              <w:rPr>
                <w:rFonts w:ascii="Times New Roman" w:eastAsia="Calibri" w:hAnsi="Times New Roman" w:cs="Times New Roman"/>
                <w:color w:val="000000"/>
                <w:spacing w:val="-2"/>
              </w:rPr>
              <w:t>(</w:t>
            </w:r>
            <w:r w:rsidR="00A71B60">
              <w:rPr>
                <w:rFonts w:ascii="Times New Roman" w:eastAsia="Calibri" w:hAnsi="Times New Roman" w:cs="Times New Roman"/>
                <w:color w:val="000000"/>
                <w:spacing w:val="-2"/>
              </w:rPr>
              <w:t>p</w:t>
            </w:r>
            <w:r w:rsidR="00A71B60" w:rsidRPr="00055E6A">
              <w:rPr>
                <w:rFonts w:ascii="Times New Roman" w:eastAsia="Calibri" w:hAnsi="Times New Roman" w:cs="Times New Roman"/>
                <w:color w:val="000000"/>
                <w:spacing w:val="-2"/>
              </w:rPr>
              <w:t xml:space="preserve">olepszenie jakości udzielanych </w:t>
            </w:r>
            <w:r>
              <w:rPr>
                <w:rFonts w:ascii="Times New Roman" w:eastAsia="Calibri" w:hAnsi="Times New Roman" w:cs="Times New Roman"/>
                <w:color w:val="000000"/>
                <w:spacing w:val="-2"/>
              </w:rPr>
              <w:t>im świadczeń zdrowotnych</w:t>
            </w:r>
            <w:r w:rsidR="000322A5">
              <w:rPr>
                <w:rFonts w:ascii="Times New Roman" w:eastAsia="Calibri" w:hAnsi="Times New Roman" w:cs="Times New Roman"/>
                <w:color w:val="000000"/>
                <w:spacing w:val="-2"/>
              </w:rPr>
              <w:t>)</w:t>
            </w:r>
          </w:p>
        </w:tc>
      </w:tr>
      <w:tr w:rsidR="00164109" w:rsidRPr="00055E6A" w14:paraId="3CE952C0" w14:textId="77777777" w:rsidTr="00997877">
        <w:trPr>
          <w:gridAfter w:val="1"/>
          <w:wAfter w:w="10" w:type="dxa"/>
          <w:trHeight w:val="142"/>
        </w:trPr>
        <w:tc>
          <w:tcPr>
            <w:tcW w:w="1596" w:type="dxa"/>
            <w:vMerge w:val="restart"/>
            <w:shd w:val="clear" w:color="auto" w:fill="FFFFFF"/>
          </w:tcPr>
          <w:p w14:paraId="52794D52"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Niemierzalne</w:t>
            </w:r>
          </w:p>
        </w:tc>
        <w:tc>
          <w:tcPr>
            <w:tcW w:w="2293" w:type="dxa"/>
            <w:gridSpan w:val="6"/>
            <w:shd w:val="clear" w:color="auto" w:fill="FFFFFF"/>
          </w:tcPr>
          <w:p w14:paraId="129834FC" w14:textId="4DA558EF"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7048" w:type="dxa"/>
            <w:gridSpan w:val="22"/>
            <w:shd w:val="clear" w:color="auto" w:fill="FFFFFF"/>
          </w:tcPr>
          <w:p w14:paraId="74355420" w14:textId="77777777" w:rsidR="00164109" w:rsidRPr="00055E6A" w:rsidRDefault="00164109" w:rsidP="00164109">
            <w:pPr>
              <w:spacing w:after="0" w:line="240" w:lineRule="auto"/>
              <w:rPr>
                <w:rFonts w:ascii="Times New Roman" w:eastAsia="Calibri" w:hAnsi="Times New Roman" w:cs="Times New Roman"/>
                <w:color w:val="000000"/>
                <w:spacing w:val="-2"/>
                <w:sz w:val="21"/>
                <w:szCs w:val="21"/>
              </w:rPr>
            </w:pPr>
            <w:r w:rsidRPr="00055E6A">
              <w:rPr>
                <w:rFonts w:ascii="Times New Roman" w:eastAsia="Calibri" w:hAnsi="Times New Roman" w:cs="Times New Roman"/>
                <w:color w:val="000000"/>
                <w:spacing w:val="-2"/>
                <w:sz w:val="21"/>
                <w:szCs w:val="21"/>
              </w:rPr>
              <w:t>Brak wpływu</w:t>
            </w:r>
          </w:p>
        </w:tc>
      </w:tr>
      <w:tr w:rsidR="00164109" w:rsidRPr="00055E6A" w14:paraId="07863693" w14:textId="77777777" w:rsidTr="00997877">
        <w:trPr>
          <w:gridAfter w:val="1"/>
          <w:wAfter w:w="10" w:type="dxa"/>
          <w:trHeight w:val="142"/>
        </w:trPr>
        <w:tc>
          <w:tcPr>
            <w:tcW w:w="1596" w:type="dxa"/>
            <w:vMerge/>
            <w:shd w:val="clear" w:color="auto" w:fill="FFFFFF"/>
          </w:tcPr>
          <w:p w14:paraId="5E1864CB" w14:textId="77777777"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2293" w:type="dxa"/>
            <w:gridSpan w:val="6"/>
            <w:shd w:val="clear" w:color="auto" w:fill="FFFFFF"/>
          </w:tcPr>
          <w:p w14:paraId="68DF9FCD" w14:textId="5B51AF40" w:rsidR="00164109" w:rsidRPr="00055E6A" w:rsidRDefault="00164109" w:rsidP="00164109">
            <w:pPr>
              <w:spacing w:after="0" w:line="240" w:lineRule="auto"/>
              <w:rPr>
                <w:rFonts w:ascii="Times New Roman" w:eastAsia="Calibri" w:hAnsi="Times New Roman" w:cs="Times New Roman"/>
                <w:color w:val="000000"/>
                <w:sz w:val="21"/>
                <w:szCs w:val="21"/>
              </w:rPr>
            </w:pPr>
          </w:p>
        </w:tc>
        <w:tc>
          <w:tcPr>
            <w:tcW w:w="7048" w:type="dxa"/>
            <w:gridSpan w:val="22"/>
            <w:shd w:val="clear" w:color="auto" w:fill="FFFFFF"/>
          </w:tcPr>
          <w:p w14:paraId="6602766E" w14:textId="77777777" w:rsidR="00164109" w:rsidRPr="00055E6A" w:rsidRDefault="00164109" w:rsidP="00164109">
            <w:pPr>
              <w:spacing w:after="0" w:line="240" w:lineRule="auto"/>
              <w:rPr>
                <w:rFonts w:ascii="Times New Roman" w:eastAsia="Calibri" w:hAnsi="Times New Roman" w:cs="Times New Roman"/>
                <w:color w:val="000000"/>
                <w:spacing w:val="-2"/>
                <w:sz w:val="21"/>
                <w:szCs w:val="21"/>
              </w:rPr>
            </w:pPr>
          </w:p>
        </w:tc>
      </w:tr>
      <w:tr w:rsidR="00164109" w:rsidRPr="00055E6A" w14:paraId="019FCF4B" w14:textId="77777777" w:rsidTr="00905D7B">
        <w:trPr>
          <w:gridAfter w:val="1"/>
          <w:wAfter w:w="10" w:type="dxa"/>
          <w:trHeight w:val="1268"/>
        </w:trPr>
        <w:tc>
          <w:tcPr>
            <w:tcW w:w="2243" w:type="dxa"/>
            <w:gridSpan w:val="2"/>
            <w:shd w:val="clear" w:color="auto" w:fill="FFFFFF"/>
          </w:tcPr>
          <w:p w14:paraId="42E86C5C" w14:textId="77777777" w:rsidR="00164109" w:rsidRPr="00055E6A" w:rsidRDefault="00164109" w:rsidP="00164109">
            <w:pPr>
              <w:spacing w:after="0" w:line="240" w:lineRule="auto"/>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6991DFC8" w14:textId="77777777" w:rsidR="00164109" w:rsidRPr="00055E6A" w:rsidRDefault="00164109" w:rsidP="00164109">
            <w:pPr>
              <w:spacing w:after="0" w:line="240" w:lineRule="auto"/>
              <w:jc w:val="both"/>
              <w:rPr>
                <w:rFonts w:ascii="Times New Roman" w:eastAsia="Calibri" w:hAnsi="Times New Roman" w:cs="Times New Roman"/>
                <w:color w:val="000000"/>
                <w:sz w:val="21"/>
                <w:szCs w:val="21"/>
              </w:rPr>
            </w:pPr>
          </w:p>
          <w:p w14:paraId="1C42FE1C" w14:textId="77777777" w:rsidR="00164109" w:rsidRPr="00055E6A" w:rsidRDefault="00164109" w:rsidP="00164109">
            <w:pPr>
              <w:spacing w:after="0" w:line="240" w:lineRule="auto"/>
              <w:jc w:val="both"/>
              <w:rPr>
                <w:rFonts w:ascii="Times New Roman" w:eastAsia="Calibri" w:hAnsi="Times New Roman" w:cs="Times New Roman"/>
                <w:color w:val="000000"/>
                <w:sz w:val="21"/>
                <w:szCs w:val="21"/>
              </w:rPr>
            </w:pPr>
          </w:p>
          <w:p w14:paraId="237C2497" w14:textId="32B03EFB" w:rsidR="00164109" w:rsidRPr="00055E6A" w:rsidRDefault="00164109" w:rsidP="00164109">
            <w:pPr>
              <w:spacing w:after="0" w:line="240" w:lineRule="auto"/>
              <w:jc w:val="both"/>
              <w:rPr>
                <w:rFonts w:ascii="Times New Roman" w:eastAsia="Calibri" w:hAnsi="Times New Roman" w:cs="Times New Roman"/>
                <w:color w:val="000000"/>
                <w:sz w:val="21"/>
                <w:szCs w:val="21"/>
              </w:rPr>
            </w:pPr>
            <w:r w:rsidRPr="00055E6A">
              <w:rPr>
                <w:rFonts w:ascii="Times New Roman" w:eastAsia="Calibri" w:hAnsi="Times New Roman" w:cs="Times New Roman"/>
                <w:color w:val="000000"/>
                <w:sz w:val="21"/>
                <w:szCs w:val="21"/>
              </w:rPr>
              <w:t>Nie przewiduje się wpływu projektowanego rozporządzenia na konkurencyjność gospodarki i przedsiębiorczość, w tym funkcjonowanie przedsiębiorców oraz na rodzinę, obywateli i gospodarstwa domowe.</w:t>
            </w:r>
          </w:p>
          <w:p w14:paraId="6C946914" w14:textId="77777777" w:rsidR="00164109" w:rsidRPr="00055E6A" w:rsidRDefault="00164109" w:rsidP="00164109">
            <w:pPr>
              <w:spacing w:after="0" w:line="240" w:lineRule="auto"/>
              <w:jc w:val="both"/>
              <w:rPr>
                <w:rFonts w:ascii="Times New Roman" w:eastAsia="Calibri" w:hAnsi="Times New Roman" w:cs="Times New Roman"/>
                <w:color w:val="000000"/>
                <w:sz w:val="21"/>
                <w:szCs w:val="21"/>
              </w:rPr>
            </w:pPr>
          </w:p>
          <w:p w14:paraId="14901543" w14:textId="77777777" w:rsidR="00164109" w:rsidRPr="00055E6A" w:rsidRDefault="00164109" w:rsidP="00164109">
            <w:pPr>
              <w:spacing w:after="0" w:line="240" w:lineRule="auto"/>
              <w:jc w:val="both"/>
              <w:rPr>
                <w:rFonts w:ascii="Times New Roman" w:eastAsia="Calibri" w:hAnsi="Times New Roman" w:cs="Times New Roman"/>
                <w:color w:val="000000"/>
                <w:sz w:val="21"/>
                <w:szCs w:val="21"/>
              </w:rPr>
            </w:pPr>
          </w:p>
          <w:p w14:paraId="768C5B84" w14:textId="77777777" w:rsidR="00164109" w:rsidRPr="00055E6A" w:rsidRDefault="00164109" w:rsidP="00164109">
            <w:pPr>
              <w:spacing w:after="0" w:line="240" w:lineRule="auto"/>
              <w:jc w:val="both"/>
              <w:rPr>
                <w:rFonts w:ascii="Times New Roman" w:eastAsia="Calibri" w:hAnsi="Times New Roman" w:cs="Times New Roman"/>
                <w:color w:val="000000"/>
                <w:sz w:val="21"/>
                <w:szCs w:val="21"/>
              </w:rPr>
            </w:pPr>
          </w:p>
        </w:tc>
      </w:tr>
      <w:tr w:rsidR="00164109" w:rsidRPr="00055E6A" w14:paraId="32295481" w14:textId="77777777" w:rsidTr="00997877">
        <w:trPr>
          <w:gridAfter w:val="1"/>
          <w:wAfter w:w="10" w:type="dxa"/>
          <w:trHeight w:val="342"/>
        </w:trPr>
        <w:tc>
          <w:tcPr>
            <w:tcW w:w="10937" w:type="dxa"/>
            <w:gridSpan w:val="29"/>
            <w:shd w:val="clear" w:color="auto" w:fill="99CCFF"/>
            <w:vAlign w:val="center"/>
          </w:tcPr>
          <w:p w14:paraId="6AE018EE" w14:textId="77777777" w:rsidR="00164109" w:rsidRPr="00055E6A" w:rsidRDefault="00164109" w:rsidP="00164109">
            <w:pPr>
              <w:widowControl w:val="0"/>
              <w:numPr>
                <w:ilvl w:val="0"/>
                <w:numId w:val="1"/>
              </w:numPr>
              <w:suppressAutoHyphens/>
              <w:spacing w:before="60" w:after="60" w:line="240" w:lineRule="auto"/>
              <w:ind w:left="318" w:hanging="284"/>
              <w:jc w:val="both"/>
              <w:rPr>
                <w:rFonts w:ascii="Times New Roman" w:eastAsia="Calibri" w:hAnsi="Times New Roman" w:cs="Times New Roman"/>
                <w:b/>
                <w:color w:val="000000"/>
              </w:rPr>
            </w:pPr>
            <w:r w:rsidRPr="00055E6A">
              <w:rPr>
                <w:rFonts w:ascii="Times New Roman" w:eastAsia="Calibri" w:hAnsi="Times New Roman" w:cs="Times New Roman"/>
                <w:b/>
                <w:color w:val="000000"/>
              </w:rPr>
              <w:t xml:space="preserve"> Zmiana obciążeń regulacyjnych (w tym obowiązków informacyjnych) wynikających z projektu</w:t>
            </w:r>
          </w:p>
        </w:tc>
      </w:tr>
      <w:tr w:rsidR="00164109" w:rsidRPr="00055E6A" w14:paraId="4CBF0519" w14:textId="77777777" w:rsidTr="00997877">
        <w:trPr>
          <w:gridAfter w:val="1"/>
          <w:wAfter w:w="10" w:type="dxa"/>
          <w:trHeight w:val="151"/>
        </w:trPr>
        <w:tc>
          <w:tcPr>
            <w:tcW w:w="10937" w:type="dxa"/>
            <w:gridSpan w:val="29"/>
            <w:shd w:val="clear" w:color="auto" w:fill="FFFFFF"/>
          </w:tcPr>
          <w:p w14:paraId="769BA968" w14:textId="77777777" w:rsidR="00164109" w:rsidRPr="00055E6A" w:rsidRDefault="00164109" w:rsidP="00164109">
            <w:pPr>
              <w:spacing w:after="0" w:line="240" w:lineRule="auto"/>
              <w:rPr>
                <w:rFonts w:ascii="Times New Roman" w:eastAsia="Calibri" w:hAnsi="Times New Roman" w:cs="Times New Roman"/>
                <w:color w:val="000000"/>
              </w:rPr>
            </w:pPr>
            <w:r w:rsidRPr="00055E6A">
              <w:rPr>
                <w:rFonts w:ascii="Times New Roman" w:eastAsia="Calibri" w:hAnsi="Times New Roman" w:cs="Times New Roman"/>
                <w:color w:val="000000"/>
              </w:rPr>
              <w:fldChar w:fldCharType="begin">
                <w:ffData>
                  <w:name w:val="Wybór1"/>
                  <w:enabled/>
                  <w:calcOnExit w:val="0"/>
                  <w:checkBox>
                    <w:sizeAuto/>
                    <w:default w:val="1"/>
                  </w:checkBox>
                </w:ffData>
              </w:fldChar>
            </w:r>
            <w:bookmarkStart w:id="1" w:name="Wybór1"/>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bookmarkEnd w:id="1"/>
            <w:r w:rsidRPr="00055E6A">
              <w:rPr>
                <w:rFonts w:ascii="Times New Roman" w:eastAsia="Calibri" w:hAnsi="Times New Roman" w:cs="Times New Roman"/>
                <w:color w:val="000000"/>
              </w:rPr>
              <w:t xml:space="preserve"> </w:t>
            </w:r>
            <w:r w:rsidRPr="00055E6A">
              <w:rPr>
                <w:rFonts w:ascii="Times New Roman" w:eastAsia="Calibri" w:hAnsi="Times New Roman" w:cs="Times New Roman"/>
                <w:color w:val="000000"/>
                <w:spacing w:val="-2"/>
              </w:rPr>
              <w:t>nie dotyczy</w:t>
            </w:r>
          </w:p>
        </w:tc>
      </w:tr>
      <w:tr w:rsidR="00164109" w:rsidRPr="00055E6A" w14:paraId="78F53747" w14:textId="77777777" w:rsidTr="00997877">
        <w:trPr>
          <w:gridAfter w:val="1"/>
          <w:wAfter w:w="10" w:type="dxa"/>
          <w:trHeight w:val="946"/>
        </w:trPr>
        <w:tc>
          <w:tcPr>
            <w:tcW w:w="5111" w:type="dxa"/>
            <w:gridSpan w:val="12"/>
            <w:shd w:val="clear" w:color="auto" w:fill="FFFFFF"/>
          </w:tcPr>
          <w:p w14:paraId="573375E9" w14:textId="77777777" w:rsidR="00164109" w:rsidRPr="00055E6A" w:rsidRDefault="00164109" w:rsidP="00164109">
            <w:pPr>
              <w:spacing w:after="0" w:line="276"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 xml:space="preserve">Wprowadzane są obciążenia poza bezwzględnie wymaganymi przez UE </w:t>
            </w:r>
            <w:r w:rsidRPr="00055E6A">
              <w:rPr>
                <w:rFonts w:ascii="Times New Roman" w:eastAsia="Calibri" w:hAnsi="Times New Roman" w:cs="Times New Roman"/>
                <w:color w:val="000000"/>
              </w:rPr>
              <w:t>(szczegóły w odwróconej tabeli zgodności).</w:t>
            </w:r>
          </w:p>
        </w:tc>
        <w:tc>
          <w:tcPr>
            <w:tcW w:w="5826" w:type="dxa"/>
            <w:gridSpan w:val="17"/>
            <w:shd w:val="clear" w:color="auto" w:fill="FFFFFF"/>
          </w:tcPr>
          <w:p w14:paraId="6C3F3FB6" w14:textId="77777777" w:rsidR="00164109" w:rsidRPr="00055E6A" w:rsidRDefault="00164109" w:rsidP="00164109">
            <w:pPr>
              <w:spacing w:after="0" w:line="240" w:lineRule="auto"/>
              <w:rPr>
                <w:rFonts w:ascii="Times New Roman" w:eastAsia="Calibri" w:hAnsi="Times New Roman" w:cs="Times New Roman"/>
                <w:color w:val="000000"/>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rPr>
              <w:t xml:space="preserve"> tak</w:t>
            </w:r>
          </w:p>
          <w:p w14:paraId="517C21AD" w14:textId="77777777" w:rsidR="00164109" w:rsidRPr="00055E6A" w:rsidRDefault="00164109" w:rsidP="00164109">
            <w:pPr>
              <w:spacing w:after="0" w:line="240" w:lineRule="auto"/>
              <w:rPr>
                <w:rFonts w:ascii="Times New Roman" w:eastAsia="Calibri" w:hAnsi="Times New Roman" w:cs="Times New Roman"/>
                <w:color w:val="000000"/>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rPr>
              <w:t xml:space="preserve"> nie</w:t>
            </w:r>
          </w:p>
          <w:p w14:paraId="2224CDBB" w14:textId="77777777" w:rsidR="00164109" w:rsidRPr="00055E6A" w:rsidRDefault="00164109" w:rsidP="00164109">
            <w:pPr>
              <w:spacing w:after="0" w:line="276" w:lineRule="auto"/>
              <w:rPr>
                <w:rFonts w:ascii="Times New Roman" w:eastAsia="Calibri" w:hAnsi="Times New Roman" w:cs="Times New Roman"/>
                <w:color w:val="000000"/>
              </w:rPr>
            </w:pPr>
            <w:r w:rsidRPr="00055E6A">
              <w:rPr>
                <w:rFonts w:ascii="Times New Roman" w:eastAsia="Calibri" w:hAnsi="Times New Roman" w:cs="Times New Roman"/>
                <w:color w:val="000000"/>
              </w:rPr>
              <w:fldChar w:fldCharType="begin">
                <w:ffData>
                  <w:name w:val=""/>
                  <w:enabled/>
                  <w:calcOnExit w:val="0"/>
                  <w:checkBox>
                    <w:sizeAuto/>
                    <w:default w:val="1"/>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rPr>
              <w:t xml:space="preserve"> nie dotyczy</w:t>
            </w:r>
          </w:p>
        </w:tc>
      </w:tr>
      <w:tr w:rsidR="00164109" w:rsidRPr="00055E6A" w14:paraId="15333DEB" w14:textId="77777777" w:rsidTr="00997877">
        <w:trPr>
          <w:gridAfter w:val="1"/>
          <w:wAfter w:w="10" w:type="dxa"/>
          <w:trHeight w:val="1245"/>
        </w:trPr>
        <w:tc>
          <w:tcPr>
            <w:tcW w:w="5111" w:type="dxa"/>
            <w:gridSpan w:val="12"/>
            <w:shd w:val="clear" w:color="auto" w:fill="FFFFFF"/>
          </w:tcPr>
          <w:p w14:paraId="72568F68" w14:textId="77777777" w:rsidR="00164109" w:rsidRPr="00055E6A" w:rsidRDefault="00164109" w:rsidP="00164109">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spacing w:val="-2"/>
              </w:rPr>
              <w:t xml:space="preserve">zmniejszenie liczby dokumentów </w:t>
            </w:r>
          </w:p>
          <w:p w14:paraId="7DC88948" w14:textId="77777777" w:rsidR="00164109" w:rsidRPr="00055E6A" w:rsidRDefault="00164109" w:rsidP="00164109">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spacing w:val="-2"/>
              </w:rPr>
              <w:t>zmniejszenie liczby procedur</w:t>
            </w:r>
          </w:p>
          <w:p w14:paraId="11477CC8" w14:textId="77777777" w:rsidR="00164109" w:rsidRPr="00055E6A" w:rsidRDefault="00164109" w:rsidP="00164109">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rPr>
              <w:fldChar w:fldCharType="begin">
                <w:ffData>
                  <w:name w:val=""/>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spacing w:val="-2"/>
              </w:rPr>
              <w:t>skrócenie czasu na załatwienie sprawy</w:t>
            </w:r>
          </w:p>
          <w:p w14:paraId="7E8AAE3D" w14:textId="77777777" w:rsidR="00164109" w:rsidRPr="00055E6A" w:rsidRDefault="00164109" w:rsidP="00164109">
            <w:pPr>
              <w:spacing w:after="0" w:line="276" w:lineRule="auto"/>
              <w:rPr>
                <w:rFonts w:ascii="Times New Roman" w:eastAsia="Calibri" w:hAnsi="Times New Roman" w:cs="Times New Roman"/>
                <w:b/>
                <w:color w:val="000000"/>
                <w:spacing w:val="-2"/>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spacing w:val="-2"/>
              </w:rPr>
              <w:t>inne:</w:t>
            </w:r>
            <w:r w:rsidRPr="00055E6A">
              <w:rPr>
                <w:rFonts w:ascii="Times New Roman" w:eastAsia="Calibri" w:hAnsi="Times New Roman" w:cs="Times New Roman"/>
                <w:color w:val="000000"/>
              </w:rPr>
              <w:t xml:space="preserve"> </w:t>
            </w:r>
            <w:r w:rsidRPr="00055E6A">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55E6A">
              <w:rPr>
                <w:rFonts w:ascii="Times New Roman" w:eastAsia="Calibri" w:hAnsi="Times New Roman" w:cs="Times New Roman"/>
                <w:color w:val="000000"/>
              </w:rPr>
              <w:instrText xml:space="preserve"> FORMTEXT </w:instrText>
            </w:r>
            <w:r w:rsidRPr="00055E6A">
              <w:rPr>
                <w:rFonts w:ascii="Times New Roman" w:eastAsia="Calibri" w:hAnsi="Times New Roman" w:cs="Times New Roman"/>
                <w:color w:val="000000"/>
              </w:rPr>
            </w:r>
            <w:r w:rsidRPr="00055E6A">
              <w:rPr>
                <w:rFonts w:ascii="Times New Roman" w:eastAsia="Calibri" w:hAnsi="Times New Roman" w:cs="Times New Roman"/>
                <w:color w:val="000000"/>
              </w:rPr>
              <w:fldChar w:fldCharType="separate"/>
            </w:r>
            <w:r w:rsidRPr="00055E6A">
              <w:rPr>
                <w:rFonts w:ascii="Times New Roman" w:eastAsia="Calibri" w:hAnsi="Calibri" w:cs="Times New Roman"/>
                <w:noProof/>
                <w:color w:val="000000"/>
              </w:rPr>
              <w:t> </w:t>
            </w:r>
            <w:r w:rsidRPr="00055E6A">
              <w:rPr>
                <w:rFonts w:ascii="Times New Roman" w:eastAsia="Calibri" w:hAnsi="Calibri" w:cs="Times New Roman"/>
                <w:noProof/>
                <w:color w:val="000000"/>
              </w:rPr>
              <w:t> </w:t>
            </w:r>
            <w:r w:rsidRPr="00055E6A">
              <w:rPr>
                <w:rFonts w:ascii="Times New Roman" w:eastAsia="Calibri" w:hAnsi="Calibri" w:cs="Times New Roman"/>
                <w:noProof/>
                <w:color w:val="000000"/>
              </w:rPr>
              <w:t> </w:t>
            </w:r>
            <w:r w:rsidRPr="00055E6A">
              <w:rPr>
                <w:rFonts w:ascii="Times New Roman" w:eastAsia="Calibri" w:hAnsi="Calibri" w:cs="Times New Roman"/>
                <w:noProof/>
                <w:color w:val="000000"/>
              </w:rPr>
              <w:t> </w:t>
            </w:r>
            <w:r w:rsidRPr="00055E6A">
              <w:rPr>
                <w:rFonts w:ascii="Times New Roman" w:eastAsia="Calibri" w:hAnsi="Calibri" w:cs="Times New Roman"/>
                <w:noProof/>
                <w:color w:val="000000"/>
              </w:rPr>
              <w:t> </w:t>
            </w:r>
            <w:r w:rsidRPr="00055E6A">
              <w:rPr>
                <w:rFonts w:ascii="Times New Roman" w:eastAsia="Calibri" w:hAnsi="Times New Roman" w:cs="Times New Roman"/>
                <w:color w:val="000000"/>
              </w:rPr>
              <w:fldChar w:fldCharType="end"/>
            </w:r>
          </w:p>
        </w:tc>
        <w:tc>
          <w:tcPr>
            <w:tcW w:w="5826" w:type="dxa"/>
            <w:gridSpan w:val="17"/>
            <w:shd w:val="clear" w:color="auto" w:fill="FFFFFF"/>
          </w:tcPr>
          <w:p w14:paraId="294B5319" w14:textId="77777777" w:rsidR="00164109" w:rsidRPr="00055E6A" w:rsidRDefault="00164109" w:rsidP="00164109">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spacing w:val="-2"/>
              </w:rPr>
              <w:t>zwiększenie liczby dokumentów</w:t>
            </w:r>
          </w:p>
          <w:p w14:paraId="49BFA027" w14:textId="77777777" w:rsidR="00164109" w:rsidRPr="00055E6A" w:rsidRDefault="00164109" w:rsidP="00164109">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spacing w:val="-2"/>
              </w:rPr>
              <w:t>zwiększenie liczby procedur</w:t>
            </w:r>
          </w:p>
          <w:p w14:paraId="576FC93D" w14:textId="77777777" w:rsidR="00164109" w:rsidRPr="00055E6A" w:rsidRDefault="00164109" w:rsidP="00164109">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spacing w:val="-2"/>
              </w:rPr>
              <w:t>wydłużenie czasu na załatwienie sprawy</w:t>
            </w:r>
          </w:p>
          <w:p w14:paraId="76881787" w14:textId="77777777" w:rsidR="00164109" w:rsidRPr="00055E6A" w:rsidRDefault="00164109" w:rsidP="00164109">
            <w:pPr>
              <w:spacing w:after="0" w:line="240" w:lineRule="auto"/>
              <w:rPr>
                <w:rFonts w:ascii="Times New Roman" w:eastAsia="Calibri" w:hAnsi="Times New Roman" w:cs="Times New Roman"/>
                <w:color w:val="000000"/>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spacing w:val="-2"/>
              </w:rPr>
              <w:t>inne:</w:t>
            </w:r>
            <w:r w:rsidRPr="00055E6A">
              <w:rPr>
                <w:rFonts w:ascii="Times New Roman" w:eastAsia="Calibri" w:hAnsi="Times New Roman" w:cs="Times New Roman"/>
                <w:color w:val="000000"/>
              </w:rPr>
              <w:t xml:space="preserve"> </w:t>
            </w:r>
            <w:r w:rsidRPr="00055E6A">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55E6A">
              <w:rPr>
                <w:rFonts w:ascii="Times New Roman" w:eastAsia="Calibri" w:hAnsi="Times New Roman" w:cs="Times New Roman"/>
                <w:color w:val="000000"/>
              </w:rPr>
              <w:instrText xml:space="preserve"> FORMTEXT </w:instrText>
            </w:r>
            <w:r w:rsidRPr="00055E6A">
              <w:rPr>
                <w:rFonts w:ascii="Times New Roman" w:eastAsia="Calibri" w:hAnsi="Times New Roman" w:cs="Times New Roman"/>
                <w:color w:val="000000"/>
              </w:rPr>
            </w:r>
            <w:r w:rsidRPr="00055E6A">
              <w:rPr>
                <w:rFonts w:ascii="Times New Roman" w:eastAsia="Calibri" w:hAnsi="Times New Roman" w:cs="Times New Roman"/>
                <w:color w:val="000000"/>
              </w:rPr>
              <w:fldChar w:fldCharType="separate"/>
            </w:r>
            <w:r w:rsidRPr="00055E6A">
              <w:rPr>
                <w:rFonts w:ascii="Times New Roman" w:eastAsia="Calibri" w:hAnsi="Calibri" w:cs="Times New Roman"/>
                <w:noProof/>
                <w:color w:val="000000"/>
              </w:rPr>
              <w:t> </w:t>
            </w:r>
            <w:r w:rsidRPr="00055E6A">
              <w:rPr>
                <w:rFonts w:ascii="Times New Roman" w:eastAsia="Calibri" w:hAnsi="Calibri" w:cs="Times New Roman"/>
                <w:noProof/>
                <w:color w:val="000000"/>
              </w:rPr>
              <w:t> </w:t>
            </w:r>
            <w:r w:rsidRPr="00055E6A">
              <w:rPr>
                <w:rFonts w:ascii="Times New Roman" w:eastAsia="Calibri" w:hAnsi="Calibri" w:cs="Times New Roman"/>
                <w:noProof/>
                <w:color w:val="000000"/>
              </w:rPr>
              <w:t> </w:t>
            </w:r>
            <w:r w:rsidRPr="00055E6A">
              <w:rPr>
                <w:rFonts w:ascii="Times New Roman" w:eastAsia="Calibri" w:hAnsi="Calibri" w:cs="Times New Roman"/>
                <w:noProof/>
                <w:color w:val="000000"/>
              </w:rPr>
              <w:t> </w:t>
            </w:r>
            <w:r w:rsidRPr="00055E6A">
              <w:rPr>
                <w:rFonts w:ascii="Times New Roman" w:eastAsia="Calibri" w:hAnsi="Calibri" w:cs="Times New Roman"/>
                <w:noProof/>
                <w:color w:val="000000"/>
              </w:rPr>
              <w:t> </w:t>
            </w:r>
            <w:r w:rsidRPr="00055E6A">
              <w:rPr>
                <w:rFonts w:ascii="Times New Roman" w:eastAsia="Calibri" w:hAnsi="Times New Roman" w:cs="Times New Roman"/>
                <w:color w:val="000000"/>
              </w:rPr>
              <w:fldChar w:fldCharType="end"/>
            </w:r>
          </w:p>
          <w:p w14:paraId="5DFB853C" w14:textId="77777777" w:rsidR="00164109" w:rsidRPr="00055E6A" w:rsidRDefault="00164109" w:rsidP="00164109">
            <w:pPr>
              <w:spacing w:after="0" w:line="240" w:lineRule="auto"/>
              <w:rPr>
                <w:rFonts w:ascii="Times New Roman" w:eastAsia="Calibri" w:hAnsi="Times New Roman" w:cs="Times New Roman"/>
                <w:color w:val="000000"/>
              </w:rPr>
            </w:pPr>
          </w:p>
        </w:tc>
      </w:tr>
      <w:tr w:rsidR="00164109" w:rsidRPr="00055E6A" w14:paraId="5A8AB306" w14:textId="77777777" w:rsidTr="00997877">
        <w:trPr>
          <w:gridAfter w:val="1"/>
          <w:wAfter w:w="10" w:type="dxa"/>
          <w:trHeight w:val="870"/>
        </w:trPr>
        <w:tc>
          <w:tcPr>
            <w:tcW w:w="5111" w:type="dxa"/>
            <w:gridSpan w:val="12"/>
            <w:shd w:val="clear" w:color="auto" w:fill="FFFFFF"/>
          </w:tcPr>
          <w:p w14:paraId="69DB2228" w14:textId="77777777" w:rsidR="00164109" w:rsidRPr="00055E6A" w:rsidRDefault="00164109" w:rsidP="00164109">
            <w:pPr>
              <w:spacing w:after="0" w:line="240" w:lineRule="auto"/>
              <w:rPr>
                <w:rFonts w:ascii="Times New Roman" w:eastAsia="Calibri" w:hAnsi="Times New Roman" w:cs="Times New Roman"/>
                <w:color w:val="000000"/>
              </w:rPr>
            </w:pPr>
            <w:r w:rsidRPr="00055E6A">
              <w:rPr>
                <w:rFonts w:ascii="Times New Roman" w:eastAsia="Calibri" w:hAnsi="Times New Roman" w:cs="Times New Roman"/>
                <w:color w:val="000000"/>
                <w:spacing w:val="-2"/>
              </w:rPr>
              <w:t xml:space="preserve">Wprowadzane obciążenia są przystosowane do ich elektronizacji. </w:t>
            </w:r>
          </w:p>
        </w:tc>
        <w:tc>
          <w:tcPr>
            <w:tcW w:w="5826" w:type="dxa"/>
            <w:gridSpan w:val="17"/>
            <w:shd w:val="clear" w:color="auto" w:fill="FFFFFF"/>
          </w:tcPr>
          <w:p w14:paraId="16BA44CE" w14:textId="77777777" w:rsidR="00164109" w:rsidRPr="00055E6A" w:rsidRDefault="00164109" w:rsidP="00164109">
            <w:pPr>
              <w:spacing w:after="0" w:line="240" w:lineRule="auto"/>
              <w:rPr>
                <w:rFonts w:ascii="Times New Roman" w:eastAsia="Calibri" w:hAnsi="Times New Roman" w:cs="Times New Roman"/>
                <w:color w:val="000000"/>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rPr>
              <w:t xml:space="preserve"> tak</w:t>
            </w:r>
          </w:p>
          <w:p w14:paraId="02EE5860" w14:textId="77777777" w:rsidR="00164109" w:rsidRPr="00055E6A" w:rsidRDefault="00164109" w:rsidP="00164109">
            <w:pPr>
              <w:spacing w:after="0" w:line="240" w:lineRule="auto"/>
              <w:rPr>
                <w:rFonts w:ascii="Times New Roman" w:eastAsia="Calibri" w:hAnsi="Times New Roman" w:cs="Times New Roman"/>
                <w:color w:val="000000"/>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rPr>
              <w:t xml:space="preserve"> nie</w:t>
            </w:r>
          </w:p>
          <w:p w14:paraId="0CC0FD92" w14:textId="77777777" w:rsidR="00164109" w:rsidRPr="00055E6A" w:rsidRDefault="00164109" w:rsidP="00164109">
            <w:pPr>
              <w:spacing w:after="0" w:line="240" w:lineRule="auto"/>
              <w:rPr>
                <w:rFonts w:ascii="Times New Roman" w:eastAsia="Calibri" w:hAnsi="Times New Roman" w:cs="Times New Roman"/>
                <w:color w:val="000000"/>
              </w:rPr>
            </w:pPr>
            <w:r w:rsidRPr="00055E6A">
              <w:rPr>
                <w:rFonts w:ascii="Times New Roman" w:eastAsia="Calibri" w:hAnsi="Times New Roman" w:cs="Times New Roman"/>
                <w:color w:val="000000"/>
              </w:rPr>
              <w:fldChar w:fldCharType="begin">
                <w:ffData>
                  <w:name w:val=""/>
                  <w:enabled/>
                  <w:calcOnExit w:val="0"/>
                  <w:checkBox>
                    <w:sizeAuto/>
                    <w:default w:val="1"/>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rPr>
              <w:t xml:space="preserve"> nie dotyczy</w:t>
            </w:r>
          </w:p>
          <w:p w14:paraId="62CC8156" w14:textId="77777777" w:rsidR="00164109" w:rsidRPr="00055E6A" w:rsidRDefault="00164109" w:rsidP="00164109">
            <w:pPr>
              <w:spacing w:after="0" w:line="240" w:lineRule="auto"/>
              <w:rPr>
                <w:rFonts w:ascii="Times New Roman" w:eastAsia="Calibri" w:hAnsi="Times New Roman" w:cs="Times New Roman"/>
                <w:color w:val="000000"/>
              </w:rPr>
            </w:pPr>
          </w:p>
        </w:tc>
      </w:tr>
      <w:tr w:rsidR="00164109" w:rsidRPr="00055E6A" w14:paraId="02E1E4C5" w14:textId="77777777" w:rsidTr="00997877">
        <w:trPr>
          <w:gridAfter w:val="1"/>
          <w:wAfter w:w="10" w:type="dxa"/>
          <w:trHeight w:val="630"/>
        </w:trPr>
        <w:tc>
          <w:tcPr>
            <w:tcW w:w="10937" w:type="dxa"/>
            <w:gridSpan w:val="29"/>
            <w:shd w:val="clear" w:color="auto" w:fill="FFFFFF"/>
          </w:tcPr>
          <w:p w14:paraId="1602C23A" w14:textId="77777777" w:rsidR="00164109" w:rsidRPr="00055E6A" w:rsidRDefault="00164109" w:rsidP="00164109">
            <w:pPr>
              <w:spacing w:after="0" w:line="240" w:lineRule="auto"/>
              <w:jc w:val="both"/>
              <w:rPr>
                <w:rFonts w:ascii="Times New Roman" w:eastAsia="Calibri" w:hAnsi="Times New Roman" w:cs="Times New Roman"/>
                <w:color w:val="000000"/>
              </w:rPr>
            </w:pPr>
            <w:r w:rsidRPr="00055E6A">
              <w:rPr>
                <w:rFonts w:ascii="Times New Roman" w:eastAsia="Calibri" w:hAnsi="Times New Roman" w:cs="Times New Roman"/>
                <w:color w:val="000000"/>
              </w:rPr>
              <w:t>Nie przewiduje się wpływu projektowanego rozporządzenia w zakresie obciążeń regulacyjnych.</w:t>
            </w:r>
          </w:p>
        </w:tc>
      </w:tr>
      <w:tr w:rsidR="00164109" w:rsidRPr="00055E6A" w14:paraId="61C1F9B9" w14:textId="77777777" w:rsidTr="00997877">
        <w:trPr>
          <w:gridAfter w:val="1"/>
          <w:wAfter w:w="10" w:type="dxa"/>
          <w:trHeight w:val="142"/>
        </w:trPr>
        <w:tc>
          <w:tcPr>
            <w:tcW w:w="10937" w:type="dxa"/>
            <w:gridSpan w:val="29"/>
            <w:shd w:val="clear" w:color="auto" w:fill="99CCFF"/>
          </w:tcPr>
          <w:p w14:paraId="2F1207CC" w14:textId="77777777" w:rsidR="00164109" w:rsidRPr="00055E6A" w:rsidRDefault="00164109" w:rsidP="00164109">
            <w:pPr>
              <w:widowControl w:val="0"/>
              <w:numPr>
                <w:ilvl w:val="0"/>
                <w:numId w:val="1"/>
              </w:numPr>
              <w:suppressAutoHyphens/>
              <w:spacing w:before="60" w:after="60" w:line="240" w:lineRule="auto"/>
              <w:jc w:val="both"/>
              <w:rPr>
                <w:rFonts w:ascii="Times New Roman" w:eastAsia="Calibri" w:hAnsi="Times New Roman" w:cs="Times New Roman"/>
                <w:b/>
                <w:color w:val="000000"/>
              </w:rPr>
            </w:pPr>
            <w:r w:rsidRPr="00055E6A">
              <w:rPr>
                <w:rFonts w:ascii="Times New Roman" w:eastAsia="Calibri" w:hAnsi="Times New Roman" w:cs="Times New Roman"/>
                <w:b/>
                <w:color w:val="000000"/>
              </w:rPr>
              <w:t xml:space="preserve">Wpływ na rynek pracy </w:t>
            </w:r>
          </w:p>
        </w:tc>
      </w:tr>
      <w:tr w:rsidR="00164109" w:rsidRPr="00055E6A" w14:paraId="03ADFEFE" w14:textId="77777777" w:rsidTr="00997877">
        <w:trPr>
          <w:gridAfter w:val="1"/>
          <w:wAfter w:w="10" w:type="dxa"/>
          <w:trHeight w:val="142"/>
        </w:trPr>
        <w:tc>
          <w:tcPr>
            <w:tcW w:w="10937" w:type="dxa"/>
            <w:gridSpan w:val="29"/>
            <w:shd w:val="clear" w:color="auto" w:fill="auto"/>
          </w:tcPr>
          <w:p w14:paraId="69960C2A" w14:textId="77777777" w:rsidR="00164109" w:rsidRPr="00055E6A" w:rsidRDefault="00164109" w:rsidP="00164109">
            <w:pPr>
              <w:spacing w:after="0" w:line="240" w:lineRule="auto"/>
              <w:jc w:val="both"/>
              <w:rPr>
                <w:rFonts w:ascii="Times New Roman" w:eastAsia="Calibri" w:hAnsi="Times New Roman" w:cs="Times New Roman"/>
                <w:color w:val="000000"/>
              </w:rPr>
            </w:pPr>
          </w:p>
          <w:p w14:paraId="3C5D9EEB" w14:textId="77777777" w:rsidR="00164109" w:rsidRPr="00055E6A" w:rsidRDefault="00164109" w:rsidP="00164109">
            <w:pPr>
              <w:spacing w:after="0" w:line="240" w:lineRule="auto"/>
              <w:jc w:val="both"/>
              <w:rPr>
                <w:rFonts w:ascii="Times New Roman" w:eastAsia="Calibri" w:hAnsi="Times New Roman" w:cs="Times New Roman"/>
                <w:color w:val="000000"/>
              </w:rPr>
            </w:pPr>
            <w:r w:rsidRPr="00055E6A">
              <w:rPr>
                <w:rFonts w:ascii="Times New Roman" w:eastAsia="Calibri" w:hAnsi="Times New Roman" w:cs="Times New Roman"/>
                <w:color w:val="000000"/>
              </w:rPr>
              <w:t>Nie przewiduje się wpływu projektowanego rozporządzenia na rynek pracy.</w:t>
            </w:r>
          </w:p>
          <w:p w14:paraId="6EA67A48" w14:textId="77777777" w:rsidR="00164109" w:rsidRPr="00055E6A" w:rsidRDefault="00164109" w:rsidP="00164109">
            <w:pPr>
              <w:spacing w:after="0" w:line="240" w:lineRule="auto"/>
              <w:jc w:val="both"/>
              <w:rPr>
                <w:rFonts w:ascii="Times New Roman" w:eastAsia="Calibri" w:hAnsi="Times New Roman" w:cs="Times New Roman"/>
                <w:color w:val="000000"/>
              </w:rPr>
            </w:pPr>
          </w:p>
        </w:tc>
      </w:tr>
      <w:tr w:rsidR="00164109" w:rsidRPr="00055E6A" w14:paraId="5D4D77D6" w14:textId="77777777" w:rsidTr="00997877">
        <w:trPr>
          <w:gridAfter w:val="1"/>
          <w:wAfter w:w="10" w:type="dxa"/>
          <w:trHeight w:val="142"/>
        </w:trPr>
        <w:tc>
          <w:tcPr>
            <w:tcW w:w="10937" w:type="dxa"/>
            <w:gridSpan w:val="29"/>
            <w:shd w:val="clear" w:color="auto" w:fill="99CCFF"/>
          </w:tcPr>
          <w:p w14:paraId="451BF9DD" w14:textId="77777777" w:rsidR="00164109" w:rsidRPr="00055E6A" w:rsidRDefault="00164109" w:rsidP="00164109">
            <w:pPr>
              <w:widowControl w:val="0"/>
              <w:numPr>
                <w:ilvl w:val="0"/>
                <w:numId w:val="1"/>
              </w:numPr>
              <w:suppressAutoHyphens/>
              <w:spacing w:before="60" w:after="60" w:line="240" w:lineRule="auto"/>
              <w:jc w:val="both"/>
              <w:rPr>
                <w:rFonts w:ascii="Times New Roman" w:eastAsia="Calibri" w:hAnsi="Times New Roman" w:cs="Times New Roman"/>
                <w:b/>
                <w:color w:val="000000"/>
              </w:rPr>
            </w:pPr>
            <w:r w:rsidRPr="00055E6A">
              <w:rPr>
                <w:rFonts w:ascii="Times New Roman" w:eastAsia="Calibri" w:hAnsi="Times New Roman" w:cs="Times New Roman"/>
                <w:b/>
                <w:color w:val="000000"/>
              </w:rPr>
              <w:t>Wpływ na pozostałe obszary</w:t>
            </w:r>
          </w:p>
        </w:tc>
      </w:tr>
      <w:tr w:rsidR="00164109" w:rsidRPr="00055E6A" w14:paraId="3185A136" w14:textId="77777777" w:rsidTr="00997877">
        <w:trPr>
          <w:gridAfter w:val="1"/>
          <w:wAfter w:w="10" w:type="dxa"/>
          <w:trHeight w:val="1031"/>
        </w:trPr>
        <w:tc>
          <w:tcPr>
            <w:tcW w:w="3547" w:type="dxa"/>
            <w:gridSpan w:val="5"/>
            <w:shd w:val="clear" w:color="auto" w:fill="FFFFFF"/>
          </w:tcPr>
          <w:p w14:paraId="7FFB43CD" w14:textId="77777777" w:rsidR="00164109" w:rsidRPr="00055E6A" w:rsidRDefault="00164109" w:rsidP="00164109">
            <w:pPr>
              <w:spacing w:after="0" w:line="240" w:lineRule="auto"/>
              <w:rPr>
                <w:rFonts w:ascii="Times New Roman" w:eastAsia="Calibri" w:hAnsi="Times New Roman" w:cs="Times New Roman"/>
                <w:color w:val="000000"/>
              </w:rPr>
            </w:pPr>
          </w:p>
          <w:p w14:paraId="6565015D" w14:textId="77777777" w:rsidR="00164109" w:rsidRPr="00055E6A" w:rsidRDefault="00164109" w:rsidP="00164109">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spacing w:val="-2"/>
              </w:rPr>
              <w:t>środowisko naturalne</w:t>
            </w:r>
          </w:p>
          <w:p w14:paraId="6EF22A38" w14:textId="77777777" w:rsidR="00164109" w:rsidRPr="00055E6A" w:rsidRDefault="00164109" w:rsidP="00164109">
            <w:pPr>
              <w:spacing w:after="0" w:line="240" w:lineRule="auto"/>
              <w:rPr>
                <w:rFonts w:ascii="Times New Roman" w:eastAsia="Calibri" w:hAnsi="Times New Roman" w:cs="Times New Roman"/>
                <w:color w:val="000000"/>
              </w:rPr>
            </w:pPr>
            <w:r w:rsidRPr="00055E6A">
              <w:rPr>
                <w:rFonts w:ascii="Times New Roman" w:eastAsia="Calibri" w:hAnsi="Times New Roman" w:cs="Times New Roman"/>
                <w:color w:val="000000"/>
              </w:rPr>
              <w:fldChar w:fldCharType="begin">
                <w:ffData>
                  <w:name w:val=""/>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rPr>
              <w:t>sytuacja i rozwój regionalny</w:t>
            </w:r>
          </w:p>
          <w:p w14:paraId="5B4A9396" w14:textId="77777777" w:rsidR="00164109" w:rsidRPr="00055E6A" w:rsidRDefault="00164109" w:rsidP="00164109">
            <w:pPr>
              <w:spacing w:after="0" w:line="240" w:lineRule="auto"/>
              <w:rPr>
                <w:rFonts w:ascii="Times New Roman" w:eastAsia="Calibri" w:hAnsi="Times New Roman" w:cs="Times New Roman"/>
                <w:color w:val="000000"/>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spacing w:val="-2"/>
              </w:rPr>
              <w:t>sądy powszechne, administracyjne lub wojskowe</w:t>
            </w:r>
          </w:p>
        </w:tc>
        <w:tc>
          <w:tcPr>
            <w:tcW w:w="3687" w:type="dxa"/>
            <w:gridSpan w:val="15"/>
            <w:shd w:val="clear" w:color="auto" w:fill="FFFFFF"/>
          </w:tcPr>
          <w:p w14:paraId="570CDB66" w14:textId="77777777" w:rsidR="00164109" w:rsidRPr="00055E6A" w:rsidRDefault="00164109" w:rsidP="00164109">
            <w:pPr>
              <w:spacing w:after="0" w:line="240" w:lineRule="auto"/>
              <w:rPr>
                <w:rFonts w:ascii="Times New Roman" w:eastAsia="Calibri" w:hAnsi="Times New Roman" w:cs="Times New Roman"/>
                <w:color w:val="000000"/>
              </w:rPr>
            </w:pPr>
          </w:p>
          <w:p w14:paraId="2349C634" w14:textId="77777777" w:rsidR="00164109" w:rsidRPr="00055E6A" w:rsidRDefault="00164109" w:rsidP="00164109">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spacing w:val="-2"/>
              </w:rPr>
              <w:t>demografia</w:t>
            </w:r>
          </w:p>
          <w:p w14:paraId="60456CD0" w14:textId="77777777" w:rsidR="00164109" w:rsidRPr="00055E6A" w:rsidRDefault="00164109" w:rsidP="00164109">
            <w:pPr>
              <w:spacing w:after="0" w:line="240" w:lineRule="auto"/>
              <w:rPr>
                <w:rFonts w:ascii="Times New Roman" w:eastAsia="Calibri" w:hAnsi="Times New Roman" w:cs="Times New Roman"/>
                <w:color w:val="000000"/>
              </w:rPr>
            </w:pPr>
            <w:r w:rsidRPr="00055E6A">
              <w:rPr>
                <w:rFonts w:ascii="Times New Roman" w:eastAsia="Calibri" w:hAnsi="Times New Roman" w:cs="Times New Roman"/>
                <w:color w:val="000000"/>
              </w:rPr>
              <w:fldChar w:fldCharType="begin">
                <w:ffData>
                  <w:name w:val=""/>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rPr>
              <w:t>mienie państwowe</w:t>
            </w:r>
          </w:p>
          <w:p w14:paraId="626C630B" w14:textId="77777777" w:rsidR="00164109" w:rsidRPr="00055E6A" w:rsidRDefault="00164109" w:rsidP="00164109">
            <w:pPr>
              <w:spacing w:after="0" w:line="240" w:lineRule="auto"/>
              <w:rPr>
                <w:rFonts w:ascii="Times New Roman" w:eastAsia="Calibri" w:hAnsi="Times New Roman" w:cs="Times New Roman"/>
                <w:color w:val="000000"/>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spacing w:val="-2"/>
              </w:rPr>
              <w:t xml:space="preserve">inne: </w:t>
            </w:r>
            <w:r w:rsidRPr="00055E6A">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55E6A">
              <w:rPr>
                <w:rFonts w:ascii="Times New Roman" w:eastAsia="Calibri" w:hAnsi="Times New Roman" w:cs="Times New Roman"/>
                <w:color w:val="000000"/>
              </w:rPr>
              <w:instrText xml:space="preserve"> FORMTEXT </w:instrText>
            </w:r>
            <w:r w:rsidRPr="00055E6A">
              <w:rPr>
                <w:rFonts w:ascii="Times New Roman" w:eastAsia="Calibri" w:hAnsi="Times New Roman" w:cs="Times New Roman"/>
                <w:color w:val="000000"/>
              </w:rPr>
            </w:r>
            <w:r w:rsidRPr="00055E6A">
              <w:rPr>
                <w:rFonts w:ascii="Times New Roman" w:eastAsia="Calibri" w:hAnsi="Times New Roman" w:cs="Times New Roman"/>
                <w:color w:val="000000"/>
              </w:rPr>
              <w:fldChar w:fldCharType="separate"/>
            </w:r>
            <w:r w:rsidRPr="00055E6A">
              <w:rPr>
                <w:rFonts w:ascii="Times New Roman" w:eastAsia="Calibri" w:hAnsi="Calibri" w:cs="Times New Roman"/>
                <w:noProof/>
                <w:color w:val="000000"/>
              </w:rPr>
              <w:t> </w:t>
            </w:r>
            <w:r w:rsidRPr="00055E6A">
              <w:rPr>
                <w:rFonts w:ascii="Times New Roman" w:eastAsia="Calibri" w:hAnsi="Calibri" w:cs="Times New Roman"/>
                <w:noProof/>
                <w:color w:val="000000"/>
              </w:rPr>
              <w:t> </w:t>
            </w:r>
            <w:r w:rsidRPr="00055E6A">
              <w:rPr>
                <w:rFonts w:ascii="Times New Roman" w:eastAsia="Calibri" w:hAnsi="Calibri" w:cs="Times New Roman"/>
                <w:noProof/>
                <w:color w:val="000000"/>
              </w:rPr>
              <w:t> </w:t>
            </w:r>
            <w:r w:rsidRPr="00055E6A">
              <w:rPr>
                <w:rFonts w:ascii="Times New Roman" w:eastAsia="Calibri" w:hAnsi="Calibri" w:cs="Times New Roman"/>
                <w:noProof/>
                <w:color w:val="000000"/>
              </w:rPr>
              <w:t> </w:t>
            </w:r>
            <w:r w:rsidRPr="00055E6A">
              <w:rPr>
                <w:rFonts w:ascii="Times New Roman" w:eastAsia="Calibri" w:hAnsi="Calibri" w:cs="Times New Roman"/>
                <w:noProof/>
                <w:color w:val="000000"/>
              </w:rPr>
              <w:t> </w:t>
            </w:r>
            <w:r w:rsidRPr="00055E6A">
              <w:rPr>
                <w:rFonts w:ascii="Times New Roman" w:eastAsia="Calibri" w:hAnsi="Times New Roman" w:cs="Times New Roman"/>
                <w:color w:val="000000"/>
              </w:rPr>
              <w:fldChar w:fldCharType="end"/>
            </w:r>
          </w:p>
        </w:tc>
        <w:tc>
          <w:tcPr>
            <w:tcW w:w="3703" w:type="dxa"/>
            <w:gridSpan w:val="9"/>
            <w:shd w:val="clear" w:color="auto" w:fill="FFFFFF"/>
          </w:tcPr>
          <w:p w14:paraId="73208405" w14:textId="77777777" w:rsidR="00164109" w:rsidRPr="00055E6A" w:rsidRDefault="00164109" w:rsidP="00164109">
            <w:pPr>
              <w:spacing w:after="0" w:line="240" w:lineRule="auto"/>
              <w:rPr>
                <w:rFonts w:ascii="Times New Roman" w:eastAsia="Calibri" w:hAnsi="Times New Roman" w:cs="Times New Roman"/>
                <w:color w:val="000000"/>
              </w:rPr>
            </w:pPr>
          </w:p>
          <w:p w14:paraId="4175AAA7" w14:textId="77777777" w:rsidR="00164109" w:rsidRPr="00055E6A" w:rsidRDefault="00164109" w:rsidP="00164109">
            <w:pPr>
              <w:spacing w:after="0" w:line="240" w:lineRule="auto"/>
              <w:rPr>
                <w:rFonts w:ascii="Times New Roman" w:eastAsia="Calibri" w:hAnsi="Times New Roman" w:cs="Times New Roman"/>
                <w:color w:val="000000"/>
                <w:spacing w:val="-2"/>
              </w:rPr>
            </w:pPr>
            <w:r w:rsidRPr="00055E6A">
              <w:rPr>
                <w:rFonts w:ascii="Times New Roman" w:eastAsia="Calibri" w:hAnsi="Times New Roman" w:cs="Times New Roman"/>
                <w:color w:val="000000"/>
              </w:rPr>
              <w:fldChar w:fldCharType="begin">
                <w:ffData>
                  <w:name w:val="Wybór1"/>
                  <w:enabled/>
                  <w:calcOnExit w:val="0"/>
                  <w:checkBox>
                    <w:sizeAuto/>
                    <w:default w:val="0"/>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spacing w:val="-2"/>
              </w:rPr>
              <w:t>informatyzacja</w:t>
            </w:r>
          </w:p>
          <w:p w14:paraId="5A20A5CD" w14:textId="77777777" w:rsidR="00164109" w:rsidRPr="00055E6A" w:rsidRDefault="00164109" w:rsidP="00164109">
            <w:pPr>
              <w:spacing w:after="0" w:line="240" w:lineRule="auto"/>
              <w:rPr>
                <w:rFonts w:ascii="Times New Roman" w:eastAsia="Calibri" w:hAnsi="Times New Roman" w:cs="Times New Roman"/>
                <w:color w:val="000000"/>
              </w:rPr>
            </w:pPr>
            <w:r w:rsidRPr="00055E6A">
              <w:rPr>
                <w:rFonts w:ascii="Times New Roman" w:eastAsia="Calibri" w:hAnsi="Times New Roman" w:cs="Times New Roman"/>
                <w:color w:val="000000"/>
              </w:rPr>
              <w:fldChar w:fldCharType="begin">
                <w:ffData>
                  <w:name w:val=""/>
                  <w:enabled/>
                  <w:calcOnExit w:val="0"/>
                  <w:checkBox>
                    <w:sizeAuto/>
                    <w:default w:val="1"/>
                  </w:checkBox>
                </w:ffData>
              </w:fldChar>
            </w:r>
            <w:r w:rsidRPr="00055E6A">
              <w:rPr>
                <w:rFonts w:ascii="Times New Roman" w:eastAsia="Calibri" w:hAnsi="Times New Roman" w:cs="Times New Roman"/>
                <w:color w:val="000000"/>
              </w:rPr>
              <w:instrText xml:space="preserve"> FORMCHECKBOX </w:instrText>
            </w:r>
            <w:r w:rsidR="0083740F">
              <w:rPr>
                <w:rFonts w:ascii="Times New Roman" w:eastAsia="Calibri" w:hAnsi="Times New Roman" w:cs="Times New Roman"/>
                <w:color w:val="000000"/>
              </w:rPr>
            </w:r>
            <w:r w:rsidR="0083740F">
              <w:rPr>
                <w:rFonts w:ascii="Times New Roman" w:eastAsia="Calibri" w:hAnsi="Times New Roman" w:cs="Times New Roman"/>
                <w:color w:val="000000"/>
              </w:rPr>
              <w:fldChar w:fldCharType="separate"/>
            </w:r>
            <w:r w:rsidRPr="00055E6A">
              <w:rPr>
                <w:rFonts w:ascii="Times New Roman" w:eastAsia="Calibri" w:hAnsi="Times New Roman" w:cs="Times New Roman"/>
                <w:color w:val="000000"/>
              </w:rPr>
              <w:fldChar w:fldCharType="end"/>
            </w:r>
            <w:r w:rsidRPr="00055E6A">
              <w:rPr>
                <w:rFonts w:ascii="Times New Roman" w:eastAsia="Calibri" w:hAnsi="Times New Roman" w:cs="Times New Roman"/>
                <w:color w:val="000000"/>
                <w:sz w:val="20"/>
                <w:szCs w:val="20"/>
              </w:rPr>
              <w:t xml:space="preserve"> </w:t>
            </w:r>
            <w:r w:rsidRPr="00055E6A">
              <w:rPr>
                <w:rFonts w:ascii="Times New Roman" w:eastAsia="Calibri" w:hAnsi="Times New Roman" w:cs="Times New Roman"/>
                <w:color w:val="000000"/>
                <w:spacing w:val="-2"/>
              </w:rPr>
              <w:t>zdrowie</w:t>
            </w:r>
          </w:p>
        </w:tc>
      </w:tr>
      <w:tr w:rsidR="00164109" w:rsidRPr="00055E6A" w14:paraId="2CD95F3E" w14:textId="77777777" w:rsidTr="00997877">
        <w:trPr>
          <w:gridAfter w:val="1"/>
          <w:wAfter w:w="10" w:type="dxa"/>
          <w:trHeight w:val="712"/>
        </w:trPr>
        <w:tc>
          <w:tcPr>
            <w:tcW w:w="2243" w:type="dxa"/>
            <w:gridSpan w:val="2"/>
            <w:shd w:val="clear" w:color="auto" w:fill="FFFFFF"/>
            <w:vAlign w:val="center"/>
          </w:tcPr>
          <w:p w14:paraId="6E865221" w14:textId="77777777" w:rsidR="00164109" w:rsidRPr="00055E6A" w:rsidRDefault="00164109" w:rsidP="00164109">
            <w:pPr>
              <w:spacing w:after="0" w:line="240" w:lineRule="auto"/>
              <w:rPr>
                <w:rFonts w:ascii="Times New Roman" w:eastAsia="Calibri" w:hAnsi="Times New Roman" w:cs="Times New Roman"/>
                <w:color w:val="000000"/>
              </w:rPr>
            </w:pPr>
            <w:r w:rsidRPr="00055E6A">
              <w:rPr>
                <w:rFonts w:ascii="Times New Roman" w:eastAsia="Calibri" w:hAnsi="Times New Roman" w:cs="Times New Roman"/>
                <w:color w:val="000000"/>
              </w:rPr>
              <w:t>Omówienie wpływu</w:t>
            </w:r>
          </w:p>
        </w:tc>
        <w:tc>
          <w:tcPr>
            <w:tcW w:w="8694" w:type="dxa"/>
            <w:gridSpan w:val="27"/>
            <w:shd w:val="clear" w:color="auto" w:fill="FFFFFF"/>
            <w:vAlign w:val="center"/>
          </w:tcPr>
          <w:p w14:paraId="3B404D11" w14:textId="0A729A29" w:rsidR="00164109" w:rsidRPr="00055E6A" w:rsidRDefault="00164109" w:rsidP="00164109">
            <w:pPr>
              <w:spacing w:after="0" w:line="240" w:lineRule="auto"/>
              <w:jc w:val="both"/>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Określenie przez projektowane rozporządzenie szczegółowego zakresu audytów klinicznych zewnętrznych i wewnętrznych, w połączeniu z nałożonym na jednostki ochrony zdrowia wykonujące medyczne procedury radiologiczne obowiązkiem podlegania takim audytom stanowić będzie jeden z czynników prowadzących do zwiększenia bezpieczeństwa pacjentów poddawanych takim procedurom. Celem audytów klinicznych jest bowiem polepszenie jakości udzielanych pacjentowi świadczeń zdrowotnych i weryfikowanie codziennej praktyki działań jednostek ochrony zdrowia związanych ze stosowaniem promieniowania jonizującego pod kątem uznanych standardów. Określenie szczegółowego zakresu audytów klinicznych przyczyni się zatem do wskazania obszarów działalności, które powinny zostać poddane przeglądowi i analizie podczas audytów. W rezultacie audytów przeprowadzonych zgodnie z zakresem określonym w projektowanym rozporządzeniu będą mogły zostać zidentyfikowane a w konsekwencji wyeliminowane błędy lub praktyki odbiegające od uznanych standardów stosowania promieniowania jonizującego w medycynie.</w:t>
            </w:r>
          </w:p>
        </w:tc>
      </w:tr>
      <w:tr w:rsidR="00164109" w:rsidRPr="00055E6A" w14:paraId="4A7558B0" w14:textId="77777777" w:rsidTr="00997877">
        <w:trPr>
          <w:gridAfter w:val="1"/>
          <w:wAfter w:w="10" w:type="dxa"/>
          <w:trHeight w:val="142"/>
        </w:trPr>
        <w:tc>
          <w:tcPr>
            <w:tcW w:w="10937" w:type="dxa"/>
            <w:gridSpan w:val="29"/>
            <w:shd w:val="clear" w:color="auto" w:fill="99CCFF"/>
          </w:tcPr>
          <w:p w14:paraId="2A278DBD" w14:textId="77777777" w:rsidR="00164109" w:rsidRPr="00055E6A" w:rsidRDefault="00164109" w:rsidP="00164109">
            <w:pPr>
              <w:widowControl w:val="0"/>
              <w:numPr>
                <w:ilvl w:val="0"/>
                <w:numId w:val="1"/>
              </w:numPr>
              <w:suppressAutoHyphens/>
              <w:spacing w:before="60" w:after="60" w:line="240" w:lineRule="auto"/>
              <w:ind w:left="318" w:hanging="284"/>
              <w:jc w:val="both"/>
              <w:rPr>
                <w:rFonts w:ascii="Times New Roman" w:eastAsia="Calibri" w:hAnsi="Times New Roman" w:cs="Times New Roman"/>
                <w:b/>
              </w:rPr>
            </w:pPr>
            <w:r w:rsidRPr="00055E6A">
              <w:rPr>
                <w:rFonts w:ascii="Times New Roman" w:eastAsia="Calibri" w:hAnsi="Times New Roman" w:cs="Times New Roman"/>
                <w:b/>
                <w:spacing w:val="-2"/>
                <w:sz w:val="21"/>
                <w:szCs w:val="21"/>
              </w:rPr>
              <w:t>Planowane wykonanie przepisów aktu prawnego</w:t>
            </w:r>
          </w:p>
        </w:tc>
      </w:tr>
      <w:tr w:rsidR="00164109" w:rsidRPr="00055E6A" w14:paraId="09680313" w14:textId="77777777" w:rsidTr="00997877">
        <w:trPr>
          <w:gridAfter w:val="1"/>
          <w:wAfter w:w="10" w:type="dxa"/>
          <w:trHeight w:val="142"/>
        </w:trPr>
        <w:tc>
          <w:tcPr>
            <w:tcW w:w="10937" w:type="dxa"/>
            <w:gridSpan w:val="29"/>
            <w:shd w:val="clear" w:color="auto" w:fill="FFFFFF"/>
          </w:tcPr>
          <w:p w14:paraId="12D8274A" w14:textId="44DDEE86" w:rsidR="00164109" w:rsidRPr="00055E6A" w:rsidRDefault="00164109" w:rsidP="00164109">
            <w:pPr>
              <w:spacing w:after="0" w:line="240" w:lineRule="auto"/>
              <w:jc w:val="both"/>
              <w:rPr>
                <w:rFonts w:ascii="Times New Roman" w:eastAsia="Calibri" w:hAnsi="Times New Roman" w:cs="Times New Roman"/>
                <w:spacing w:val="-2"/>
              </w:rPr>
            </w:pPr>
            <w:r w:rsidRPr="00055E6A">
              <w:rPr>
                <w:rFonts w:ascii="Times New Roman" w:eastAsia="Calibri" w:hAnsi="Times New Roman" w:cs="Times New Roman"/>
                <w:spacing w:val="-2"/>
              </w:rPr>
              <w:t xml:space="preserve">Rozporządzenie </w:t>
            </w:r>
            <w:r w:rsidR="004B4D39">
              <w:rPr>
                <w:rFonts w:ascii="Times New Roman" w:eastAsia="Calibri" w:hAnsi="Times New Roman" w:cs="Times New Roman"/>
                <w:spacing w:val="-2"/>
              </w:rPr>
              <w:t>wejdzie</w:t>
            </w:r>
            <w:r w:rsidR="004B4D39" w:rsidRPr="00055E6A">
              <w:rPr>
                <w:rFonts w:ascii="Times New Roman" w:eastAsia="Calibri" w:hAnsi="Times New Roman" w:cs="Times New Roman"/>
                <w:spacing w:val="-2"/>
              </w:rPr>
              <w:t xml:space="preserve"> </w:t>
            </w:r>
            <w:r w:rsidRPr="00055E6A">
              <w:rPr>
                <w:rFonts w:ascii="Times New Roman" w:eastAsia="Calibri" w:hAnsi="Times New Roman" w:cs="Times New Roman"/>
                <w:spacing w:val="-2"/>
              </w:rPr>
              <w:t xml:space="preserve">w życie </w:t>
            </w:r>
            <w:r w:rsidR="00436928">
              <w:rPr>
                <w:rFonts w:ascii="Times New Roman" w:eastAsia="Calibri" w:hAnsi="Times New Roman" w:cs="Times New Roman"/>
                <w:spacing w:val="-2"/>
              </w:rPr>
              <w:t xml:space="preserve">z dniem następującym </w:t>
            </w:r>
            <w:r w:rsidR="00A244EB">
              <w:rPr>
                <w:rFonts w:ascii="Times New Roman" w:eastAsia="Calibri" w:hAnsi="Times New Roman" w:cs="Times New Roman"/>
                <w:spacing w:val="-2"/>
              </w:rPr>
              <w:t>po</w:t>
            </w:r>
            <w:r w:rsidRPr="00055E6A">
              <w:rPr>
                <w:rFonts w:ascii="Times New Roman" w:eastAsia="Calibri" w:hAnsi="Times New Roman" w:cs="Times New Roman"/>
                <w:spacing w:val="-2"/>
              </w:rPr>
              <w:t xml:space="preserve"> dni</w:t>
            </w:r>
            <w:r w:rsidR="00436928">
              <w:rPr>
                <w:rFonts w:ascii="Times New Roman" w:eastAsia="Calibri" w:hAnsi="Times New Roman" w:cs="Times New Roman"/>
                <w:spacing w:val="-2"/>
              </w:rPr>
              <w:t>u</w:t>
            </w:r>
            <w:r w:rsidRPr="00055E6A">
              <w:rPr>
                <w:rFonts w:ascii="Times New Roman" w:eastAsia="Calibri" w:hAnsi="Times New Roman" w:cs="Times New Roman"/>
                <w:spacing w:val="-2"/>
              </w:rPr>
              <w:t xml:space="preserve"> ogłoszenia.</w:t>
            </w:r>
          </w:p>
        </w:tc>
      </w:tr>
      <w:tr w:rsidR="00164109" w:rsidRPr="00055E6A" w14:paraId="2892D01A" w14:textId="77777777" w:rsidTr="00997877">
        <w:trPr>
          <w:gridAfter w:val="1"/>
          <w:wAfter w:w="10" w:type="dxa"/>
          <w:trHeight w:val="142"/>
        </w:trPr>
        <w:tc>
          <w:tcPr>
            <w:tcW w:w="10937" w:type="dxa"/>
            <w:gridSpan w:val="29"/>
            <w:shd w:val="clear" w:color="auto" w:fill="99CCFF"/>
          </w:tcPr>
          <w:p w14:paraId="764AA46D" w14:textId="77777777" w:rsidR="00164109" w:rsidRPr="00055E6A" w:rsidRDefault="00164109" w:rsidP="00164109">
            <w:pPr>
              <w:widowControl w:val="0"/>
              <w:numPr>
                <w:ilvl w:val="0"/>
                <w:numId w:val="1"/>
              </w:numPr>
              <w:suppressAutoHyphens/>
              <w:spacing w:before="60" w:after="60" w:line="240" w:lineRule="auto"/>
              <w:ind w:left="318" w:hanging="284"/>
              <w:jc w:val="both"/>
              <w:rPr>
                <w:rFonts w:ascii="Times New Roman" w:eastAsia="Calibri" w:hAnsi="Times New Roman" w:cs="Times New Roman"/>
                <w:b/>
                <w:color w:val="000000"/>
              </w:rPr>
            </w:pPr>
            <w:r w:rsidRPr="00055E6A">
              <w:rPr>
                <w:rFonts w:ascii="Times New Roman" w:eastAsia="Calibri" w:hAnsi="Times New Roman" w:cs="Times New Roman"/>
                <w:b/>
                <w:color w:val="000000"/>
              </w:rPr>
              <w:t xml:space="preserve"> </w:t>
            </w:r>
            <w:r w:rsidRPr="00055E6A">
              <w:rPr>
                <w:rFonts w:ascii="Times New Roman" w:eastAsia="Calibri" w:hAnsi="Times New Roman" w:cs="Times New Roman"/>
                <w:b/>
                <w:spacing w:val="-2"/>
                <w:sz w:val="21"/>
                <w:szCs w:val="21"/>
              </w:rPr>
              <w:t>W jaki sposób i kiedy nastąpi ewaluacja efektów projektu oraz jakie mierniki zostaną zastosowane?</w:t>
            </w:r>
          </w:p>
        </w:tc>
      </w:tr>
      <w:tr w:rsidR="00164109" w:rsidRPr="00055E6A" w14:paraId="4C6B7F0E" w14:textId="77777777" w:rsidTr="00997877">
        <w:trPr>
          <w:gridAfter w:val="1"/>
          <w:wAfter w:w="10" w:type="dxa"/>
          <w:trHeight w:val="142"/>
        </w:trPr>
        <w:tc>
          <w:tcPr>
            <w:tcW w:w="10937" w:type="dxa"/>
            <w:gridSpan w:val="29"/>
            <w:shd w:val="clear" w:color="auto" w:fill="FFFFFF"/>
          </w:tcPr>
          <w:p w14:paraId="58659755" w14:textId="77777777" w:rsidR="00164109" w:rsidRPr="00055E6A" w:rsidRDefault="00164109" w:rsidP="00164109">
            <w:pPr>
              <w:spacing w:after="0" w:line="240" w:lineRule="auto"/>
              <w:jc w:val="both"/>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lastRenderedPageBreak/>
              <w:t>Efekty wprowadzenia przepisów objętych projektowaną regulacją będą mogły być przedmiotem analizy już w pierwszym okresie obowiązywania regulacji, tj. w okresie 1–2 lat funkcjonowania, ustanowionego w ustawie z dnia 29 listopada 2000 r. – Prawo atomowe systemu audytów klinicznych. Analiza taka będzie mogła być przeprowadzona m. in. na podstawie wyników działalności komisji ds. procedur i audytów klinicznych zewnętrznych. W oparciu o zebrane podczas tych audytów doświadczenia, uzasadnionym stać się może modyfikacja dotychczasowego zakresu audytów klinicznych. Potrzeba ewentualnych zmian może wyniknąć np. z konieczności dostosowania ww. zakresu do zagrożeń związanych z wykorzystaniem promieniowania jonizującego, które pojawiać się będą wraz z dalszym rozwojem medycznych zastosowań promieniowania jonizującego. Ocena, czy taka potrzeba występuje będzie dokonywana m. in. w ramach bieżących analiz przeprowadzanych przez Krajowe Centrum Ochrony Radiologicznej w Ochronie Zdrowia, tj. jednostkę zapewniającą obsługę administracyjno-techniczną komisji (m.in. w zakresie prowadzenia audytów klinicznych zewnętrznych) oraz monitorującą stan ochrony radiologicznej wynikającego ze stosowania promieniowania jonizującego.</w:t>
            </w:r>
          </w:p>
        </w:tc>
      </w:tr>
      <w:tr w:rsidR="00164109" w:rsidRPr="00055E6A" w14:paraId="46634EE1" w14:textId="77777777" w:rsidTr="00997877">
        <w:trPr>
          <w:gridAfter w:val="1"/>
          <w:wAfter w:w="10" w:type="dxa"/>
          <w:trHeight w:val="142"/>
        </w:trPr>
        <w:tc>
          <w:tcPr>
            <w:tcW w:w="10937" w:type="dxa"/>
            <w:gridSpan w:val="29"/>
            <w:shd w:val="clear" w:color="auto" w:fill="99CCFF"/>
          </w:tcPr>
          <w:p w14:paraId="52F61A7F" w14:textId="77777777" w:rsidR="00164109" w:rsidRPr="00055E6A" w:rsidRDefault="00164109" w:rsidP="00164109">
            <w:pPr>
              <w:widowControl w:val="0"/>
              <w:numPr>
                <w:ilvl w:val="0"/>
                <w:numId w:val="1"/>
              </w:numPr>
              <w:suppressAutoHyphens/>
              <w:spacing w:before="60" w:after="60" w:line="240" w:lineRule="auto"/>
              <w:ind w:left="318" w:hanging="284"/>
              <w:jc w:val="both"/>
              <w:rPr>
                <w:rFonts w:ascii="Times New Roman" w:eastAsia="Calibri" w:hAnsi="Times New Roman" w:cs="Times New Roman"/>
                <w:b/>
                <w:color w:val="000000"/>
                <w:spacing w:val="-2"/>
              </w:rPr>
            </w:pPr>
            <w:r w:rsidRPr="00055E6A">
              <w:rPr>
                <w:rFonts w:ascii="Times New Roman" w:eastAsia="Calibri" w:hAnsi="Times New Roman" w:cs="Times New Roman"/>
                <w:b/>
                <w:color w:val="000000"/>
                <w:spacing w:val="-2"/>
              </w:rPr>
              <w:t xml:space="preserve">Załączniki </w:t>
            </w:r>
            <w:r w:rsidRPr="00055E6A">
              <w:rPr>
                <w:rFonts w:ascii="Times New Roman" w:eastAsia="Calibri" w:hAnsi="Times New Roman" w:cs="Times New Roman"/>
                <w:b/>
                <w:spacing w:val="-2"/>
                <w:sz w:val="21"/>
                <w:szCs w:val="21"/>
              </w:rPr>
              <w:t>(istotne dokumenty źródłowe, badania, analizy itp.</w:t>
            </w:r>
            <w:r w:rsidRPr="00055E6A">
              <w:rPr>
                <w:rFonts w:ascii="Times New Roman" w:eastAsia="Calibri" w:hAnsi="Times New Roman" w:cs="Times New Roman"/>
                <w:b/>
                <w:color w:val="000000"/>
                <w:spacing w:val="-2"/>
              </w:rPr>
              <w:t xml:space="preserve">) </w:t>
            </w:r>
          </w:p>
        </w:tc>
      </w:tr>
      <w:tr w:rsidR="00164109" w:rsidRPr="00055E6A" w14:paraId="3A04EFB4" w14:textId="77777777" w:rsidTr="00997877">
        <w:trPr>
          <w:gridAfter w:val="1"/>
          <w:wAfter w:w="10" w:type="dxa"/>
          <w:trHeight w:val="142"/>
        </w:trPr>
        <w:tc>
          <w:tcPr>
            <w:tcW w:w="10937" w:type="dxa"/>
            <w:gridSpan w:val="29"/>
            <w:shd w:val="clear" w:color="auto" w:fill="FFFFFF"/>
          </w:tcPr>
          <w:p w14:paraId="37BF1E94" w14:textId="26E640F0" w:rsidR="00164109" w:rsidRPr="00055E6A" w:rsidRDefault="00164109" w:rsidP="00164109">
            <w:pPr>
              <w:spacing w:after="0" w:line="240" w:lineRule="auto"/>
              <w:jc w:val="both"/>
              <w:rPr>
                <w:rFonts w:ascii="Times New Roman" w:eastAsia="Calibri" w:hAnsi="Times New Roman" w:cs="Times New Roman"/>
                <w:color w:val="000000"/>
                <w:spacing w:val="-2"/>
              </w:rPr>
            </w:pPr>
            <w:r w:rsidRPr="00055E6A">
              <w:rPr>
                <w:rFonts w:ascii="Times New Roman" w:eastAsia="Calibri" w:hAnsi="Times New Roman" w:cs="Times New Roman"/>
                <w:color w:val="000000"/>
                <w:spacing w:val="-2"/>
              </w:rPr>
              <w:t>Brak.</w:t>
            </w:r>
          </w:p>
        </w:tc>
      </w:tr>
    </w:tbl>
    <w:p w14:paraId="6A6CA15B" w14:textId="77777777" w:rsidR="00055E6A" w:rsidRPr="00055E6A" w:rsidRDefault="00055E6A" w:rsidP="00055E6A">
      <w:pPr>
        <w:widowControl w:val="0"/>
        <w:tabs>
          <w:tab w:val="left" w:leader="dot" w:pos="8647"/>
        </w:tabs>
        <w:suppressAutoHyphens/>
        <w:spacing w:after="0" w:line="360" w:lineRule="auto"/>
        <w:ind w:right="946"/>
        <w:rPr>
          <w:rFonts w:ascii="Times New Roman" w:eastAsia="Times New Roman" w:hAnsi="Times New Roman" w:cs="Times New Roman"/>
          <w:bCs/>
          <w:color w:val="000000"/>
          <w:sz w:val="20"/>
          <w:szCs w:val="20"/>
          <w:lang w:eastAsia="hi-IN" w:bidi="hi-IN"/>
        </w:rPr>
      </w:pPr>
    </w:p>
    <w:p w14:paraId="78CDAF28" w14:textId="77777777" w:rsidR="00524826" w:rsidRDefault="00524826"/>
    <w:sectPr w:rsidR="00524826" w:rsidSect="00BA4919">
      <w:footnotePr>
        <w:numRestart w:val="eachPage"/>
      </w:footnotePr>
      <w:pgSz w:w="11906" w:h="16838"/>
      <w:pgMar w:top="567" w:right="709" w:bottom="567" w:left="720"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C12040"/>
    <w:multiLevelType w:val="hybridMultilevel"/>
    <w:tmpl w:val="D1C03A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4342931">
    <w:abstractNumId w:val="0"/>
  </w:num>
  <w:num w:numId="2" w16cid:durableId="508638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6A"/>
    <w:rsid w:val="000322A5"/>
    <w:rsid w:val="00055E6A"/>
    <w:rsid w:val="000C5D89"/>
    <w:rsid w:val="000E4BEA"/>
    <w:rsid w:val="000F171F"/>
    <w:rsid w:val="00107AEF"/>
    <w:rsid w:val="00164109"/>
    <w:rsid w:val="001F3F18"/>
    <w:rsid w:val="00231CCB"/>
    <w:rsid w:val="00246B51"/>
    <w:rsid w:val="002F35CD"/>
    <w:rsid w:val="002F748E"/>
    <w:rsid w:val="003D626F"/>
    <w:rsid w:val="003F5328"/>
    <w:rsid w:val="00436928"/>
    <w:rsid w:val="004B4D39"/>
    <w:rsid w:val="004F566D"/>
    <w:rsid w:val="00524826"/>
    <w:rsid w:val="0057443A"/>
    <w:rsid w:val="006F4F84"/>
    <w:rsid w:val="00724953"/>
    <w:rsid w:val="007B1EBC"/>
    <w:rsid w:val="007D26E5"/>
    <w:rsid w:val="007F3675"/>
    <w:rsid w:val="00821A66"/>
    <w:rsid w:val="008249AA"/>
    <w:rsid w:val="0083740F"/>
    <w:rsid w:val="0084162D"/>
    <w:rsid w:val="008B24F5"/>
    <w:rsid w:val="008D0930"/>
    <w:rsid w:val="008D5DD5"/>
    <w:rsid w:val="00905D7B"/>
    <w:rsid w:val="00950574"/>
    <w:rsid w:val="00A244EB"/>
    <w:rsid w:val="00A25106"/>
    <w:rsid w:val="00A57B9F"/>
    <w:rsid w:val="00A71B60"/>
    <w:rsid w:val="00B20083"/>
    <w:rsid w:val="00B7072D"/>
    <w:rsid w:val="00B85A40"/>
    <w:rsid w:val="00BD16AA"/>
    <w:rsid w:val="00C23B53"/>
    <w:rsid w:val="00C95BA8"/>
    <w:rsid w:val="00CF00C8"/>
    <w:rsid w:val="00DA2143"/>
    <w:rsid w:val="00E24E24"/>
    <w:rsid w:val="00EA2326"/>
    <w:rsid w:val="00EC1F70"/>
    <w:rsid w:val="00EF06D3"/>
    <w:rsid w:val="00EF0DE5"/>
    <w:rsid w:val="00F17E49"/>
    <w:rsid w:val="00F906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CF42"/>
  <w15:chartTrackingRefBased/>
  <w15:docId w15:val="{70551142-E322-4E18-919B-B83315FD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D0930"/>
    <w:rPr>
      <w:sz w:val="16"/>
      <w:szCs w:val="16"/>
    </w:rPr>
  </w:style>
  <w:style w:type="paragraph" w:styleId="Tekstkomentarza">
    <w:name w:val="annotation text"/>
    <w:basedOn w:val="Normalny"/>
    <w:link w:val="TekstkomentarzaZnak"/>
    <w:uiPriority w:val="99"/>
    <w:semiHidden/>
    <w:unhideWhenUsed/>
    <w:rsid w:val="008D09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0930"/>
    <w:rPr>
      <w:sz w:val="20"/>
      <w:szCs w:val="20"/>
    </w:rPr>
  </w:style>
  <w:style w:type="paragraph" w:styleId="Tematkomentarza">
    <w:name w:val="annotation subject"/>
    <w:basedOn w:val="Tekstkomentarza"/>
    <w:next w:val="Tekstkomentarza"/>
    <w:link w:val="TematkomentarzaZnak"/>
    <w:uiPriority w:val="99"/>
    <w:semiHidden/>
    <w:unhideWhenUsed/>
    <w:rsid w:val="008D0930"/>
    <w:rPr>
      <w:b/>
      <w:bCs/>
    </w:rPr>
  </w:style>
  <w:style w:type="character" w:customStyle="1" w:styleId="TematkomentarzaZnak">
    <w:name w:val="Temat komentarza Znak"/>
    <w:basedOn w:val="TekstkomentarzaZnak"/>
    <w:link w:val="Tematkomentarza"/>
    <w:uiPriority w:val="99"/>
    <w:semiHidden/>
    <w:rsid w:val="008D0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2813</Words>
  <Characters>16879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Skweres Wojciech</dc:creator>
  <cp:keywords/>
  <dc:description/>
  <cp:lastModifiedBy>Skweres Wojciech</cp:lastModifiedBy>
  <cp:revision>2</cp:revision>
  <cp:lastPrinted>2022-04-25T13:55:00Z</cp:lastPrinted>
  <dcterms:created xsi:type="dcterms:W3CDTF">2022-05-27T07:16:00Z</dcterms:created>
  <dcterms:modified xsi:type="dcterms:W3CDTF">2022-05-27T07:16:00Z</dcterms:modified>
</cp:coreProperties>
</file>