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B0EA2" w14:textId="77777777" w:rsidR="00A803E7" w:rsidRPr="00DC6133" w:rsidRDefault="00A803E7" w:rsidP="00A803E7">
      <w:pPr>
        <w:spacing w:before="120" w:after="0" w:line="360" w:lineRule="auto"/>
        <w:jc w:val="both"/>
        <w:rPr>
          <w:rFonts w:ascii="Times New Roman" w:eastAsia="Calibri" w:hAnsi="Times New Roman" w:cs="Times New Roman"/>
          <w:color w:val="000000"/>
        </w:rPr>
      </w:pPr>
    </w:p>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24"/>
        <w:gridCol w:w="46"/>
        <w:gridCol w:w="118"/>
        <w:gridCol w:w="151"/>
        <w:gridCol w:w="300"/>
        <w:gridCol w:w="292"/>
        <w:gridCol w:w="278"/>
        <w:gridCol w:w="570"/>
        <w:gridCol w:w="60"/>
        <w:gridCol w:w="20"/>
        <w:gridCol w:w="490"/>
        <w:gridCol w:w="113"/>
        <w:gridCol w:w="284"/>
        <w:gridCol w:w="172"/>
        <w:gridCol w:w="266"/>
        <w:gridCol w:w="304"/>
        <w:gridCol w:w="165"/>
        <w:gridCol w:w="405"/>
        <w:gridCol w:w="503"/>
        <w:gridCol w:w="67"/>
        <w:gridCol w:w="1537"/>
        <w:gridCol w:w="10"/>
      </w:tblGrid>
      <w:tr w:rsidR="00A803E7" w:rsidRPr="00DC6133" w14:paraId="28626F9F" w14:textId="77777777" w:rsidTr="00F555A5">
        <w:trPr>
          <w:gridAfter w:val="1"/>
          <w:wAfter w:w="10" w:type="dxa"/>
          <w:trHeight w:val="1611"/>
          <w:jc w:val="center"/>
        </w:trPr>
        <w:tc>
          <w:tcPr>
            <w:tcW w:w="6631" w:type="dxa"/>
            <w:gridSpan w:val="18"/>
          </w:tcPr>
          <w:p w14:paraId="403D32F2" w14:textId="77777777" w:rsidR="00A803E7" w:rsidRPr="00DC6133" w:rsidRDefault="00A803E7" w:rsidP="00A803E7">
            <w:pPr>
              <w:spacing w:before="60" w:after="60" w:line="240" w:lineRule="auto"/>
              <w:ind w:hanging="45"/>
              <w:rPr>
                <w:rFonts w:ascii="Times New Roman" w:eastAsia="Calibri" w:hAnsi="Times New Roman" w:cs="Times New Roman"/>
                <w:color w:val="000000"/>
              </w:rPr>
            </w:pPr>
            <w:bookmarkStart w:id="0" w:name="t1"/>
            <w:r w:rsidRPr="00DC6133">
              <w:rPr>
                <w:rFonts w:ascii="Times New Roman" w:eastAsia="Calibri" w:hAnsi="Times New Roman" w:cs="Times New Roman"/>
                <w:b/>
                <w:color w:val="000000"/>
              </w:rPr>
              <w:t>Nazwa projektu</w:t>
            </w:r>
          </w:p>
          <w:p w14:paraId="06D85372" w14:textId="3B27659B" w:rsidR="00A803E7" w:rsidRPr="00DC6133" w:rsidRDefault="00A803E7" w:rsidP="00A803E7">
            <w:pPr>
              <w:spacing w:before="60" w:after="60" w:line="240" w:lineRule="auto"/>
              <w:jc w:val="both"/>
              <w:rPr>
                <w:rFonts w:ascii="Times New Roman" w:eastAsia="Calibri" w:hAnsi="Times New Roman" w:cs="Times New Roman"/>
                <w:color w:val="000000"/>
              </w:rPr>
            </w:pPr>
            <w:r w:rsidRPr="00DC6133">
              <w:rPr>
                <w:rFonts w:ascii="Times New Roman" w:eastAsia="Calibri" w:hAnsi="Times New Roman" w:cs="Times New Roman"/>
                <w:color w:val="000000"/>
              </w:rPr>
              <w:t>Rozporządzenie</w:t>
            </w:r>
            <w:r w:rsidRPr="00DC6133">
              <w:rPr>
                <w:rFonts w:ascii="Times New Roman" w:eastAsia="Times New Roman" w:hAnsi="Times New Roman" w:cs="Times New Roman"/>
                <w:lang w:eastAsia="pl-PL"/>
              </w:rPr>
              <w:t xml:space="preserve"> Ministra Zdrowia </w:t>
            </w:r>
            <w:r w:rsidRPr="00DC6133">
              <w:rPr>
                <w:rFonts w:ascii="Times New Roman" w:eastAsia="Calibri" w:hAnsi="Times New Roman" w:cs="Times New Roman"/>
                <w:color w:val="000000"/>
              </w:rPr>
              <w:t>w sprawie</w:t>
            </w:r>
            <w:r w:rsidR="006B439A">
              <w:rPr>
                <w:rFonts w:ascii="Times New Roman" w:eastAsia="Calibri" w:hAnsi="Times New Roman" w:cs="Times New Roman"/>
                <w:color w:val="000000"/>
              </w:rPr>
              <w:t xml:space="preserve"> testów eksploatacyjnych urządzeń radiologicznych i urządzeń pomocniczych </w:t>
            </w:r>
            <w:r w:rsidRPr="00DC6133">
              <w:rPr>
                <w:rFonts w:ascii="Times New Roman" w:eastAsia="Calibri" w:hAnsi="Times New Roman" w:cs="Times New Roman"/>
                <w:color w:val="000000"/>
              </w:rPr>
              <w:t xml:space="preserve"> </w:t>
            </w:r>
          </w:p>
          <w:p w14:paraId="3405F49D" w14:textId="77777777" w:rsidR="00A803E7" w:rsidRPr="00DC6133" w:rsidRDefault="00A803E7" w:rsidP="00A803E7">
            <w:pPr>
              <w:spacing w:before="120" w:after="60" w:line="240" w:lineRule="auto"/>
              <w:ind w:hanging="45"/>
              <w:rPr>
                <w:rFonts w:ascii="Times New Roman" w:eastAsia="Calibri" w:hAnsi="Times New Roman" w:cs="Times New Roman"/>
                <w:b/>
                <w:color w:val="000000"/>
              </w:rPr>
            </w:pPr>
            <w:r w:rsidRPr="00DC6133">
              <w:rPr>
                <w:rFonts w:ascii="Times New Roman" w:eastAsia="Calibri" w:hAnsi="Times New Roman" w:cs="Times New Roman"/>
                <w:b/>
                <w:color w:val="000000"/>
              </w:rPr>
              <w:t>Ministerstwo wiodące i ministerstwa współpracujące</w:t>
            </w:r>
          </w:p>
          <w:bookmarkEnd w:id="0"/>
          <w:p w14:paraId="6385E75A" w14:textId="77777777" w:rsidR="00A803E7" w:rsidRPr="00DC6133" w:rsidRDefault="00A803E7" w:rsidP="00A803E7">
            <w:pPr>
              <w:spacing w:before="60" w:after="60" w:line="240" w:lineRule="auto"/>
              <w:ind w:hanging="34"/>
              <w:rPr>
                <w:rFonts w:ascii="Times New Roman" w:eastAsia="Calibri" w:hAnsi="Times New Roman" w:cs="Times New Roman"/>
                <w:color w:val="000000"/>
              </w:rPr>
            </w:pPr>
            <w:r w:rsidRPr="00DC6133">
              <w:rPr>
                <w:rFonts w:ascii="Times New Roman" w:eastAsia="Calibri" w:hAnsi="Times New Roman" w:cs="Times New Roman"/>
                <w:color w:val="000000"/>
              </w:rPr>
              <w:t>Ministerstwo Zdrowia</w:t>
            </w:r>
          </w:p>
          <w:p w14:paraId="23094A01" w14:textId="77777777" w:rsidR="00A803E7" w:rsidRPr="00DC6133" w:rsidRDefault="00A803E7" w:rsidP="00A803E7">
            <w:pPr>
              <w:spacing w:before="120" w:after="60" w:line="240" w:lineRule="auto"/>
              <w:ind w:hanging="45"/>
              <w:rPr>
                <w:rFonts w:ascii="Times New Roman" w:eastAsia="Calibri" w:hAnsi="Times New Roman" w:cs="Times New Roman"/>
              </w:rPr>
            </w:pPr>
            <w:r w:rsidRPr="00DC6133">
              <w:rPr>
                <w:rFonts w:ascii="Times New Roman" w:eastAsia="Calibri" w:hAnsi="Times New Roman" w:cs="Times New Roman"/>
                <w:b/>
                <w:color w:val="000000"/>
              </w:rPr>
              <w:t>Osoba</w:t>
            </w:r>
            <w:r w:rsidRPr="00DC6133">
              <w:rPr>
                <w:rFonts w:ascii="Times New Roman" w:eastAsia="Calibri" w:hAnsi="Times New Roman" w:cs="Times New Roman"/>
                <w:b/>
              </w:rPr>
              <w:t xml:space="preserve"> odpowiedzialna za projekt w randze Ministra, Sekretarza Stanu lub Podsekretarza Stanu </w:t>
            </w:r>
          </w:p>
          <w:p w14:paraId="705EF87F" w14:textId="77777777" w:rsidR="00DC6133" w:rsidRPr="00DC6133" w:rsidRDefault="00DC6133" w:rsidP="00A803E7">
            <w:pPr>
              <w:spacing w:before="120" w:after="60" w:line="240" w:lineRule="auto"/>
              <w:rPr>
                <w:rFonts w:ascii="Times New Roman" w:eastAsia="Calibri" w:hAnsi="Times New Roman" w:cs="Times New Roman"/>
              </w:rPr>
            </w:pPr>
            <w:r w:rsidRPr="00DC6133">
              <w:rPr>
                <w:rFonts w:ascii="Times New Roman" w:eastAsia="Calibri" w:hAnsi="Times New Roman" w:cs="Times New Roman"/>
              </w:rPr>
              <w:t xml:space="preserve">Waldemar Kraska – Sekretarz Stanu w Ministerstwie Zdrowia </w:t>
            </w:r>
          </w:p>
          <w:p w14:paraId="6CC6E415" w14:textId="42A28898" w:rsidR="00A803E7" w:rsidRPr="00DC6133" w:rsidRDefault="00A803E7" w:rsidP="00A803E7">
            <w:pPr>
              <w:spacing w:before="120" w:after="60" w:line="240" w:lineRule="auto"/>
              <w:rPr>
                <w:rFonts w:ascii="Times New Roman" w:eastAsia="Calibri" w:hAnsi="Times New Roman" w:cs="Times New Roman"/>
                <w:b/>
                <w:color w:val="000000"/>
              </w:rPr>
            </w:pPr>
            <w:r w:rsidRPr="00DC6133">
              <w:rPr>
                <w:rFonts w:ascii="Times New Roman" w:eastAsia="Calibri" w:hAnsi="Times New Roman" w:cs="Times New Roman"/>
                <w:b/>
              </w:rPr>
              <w:t>Kontakt</w:t>
            </w:r>
            <w:r w:rsidRPr="00DC6133">
              <w:rPr>
                <w:rFonts w:ascii="Times New Roman" w:eastAsia="Calibri" w:hAnsi="Times New Roman" w:cs="Times New Roman"/>
                <w:b/>
                <w:color w:val="000000"/>
              </w:rPr>
              <w:t xml:space="preserve"> do opiekuna merytorycznego projektu</w:t>
            </w:r>
          </w:p>
          <w:p w14:paraId="2516D9E3" w14:textId="77777777" w:rsidR="00DC6133" w:rsidRPr="00DC6133" w:rsidRDefault="00DC6133" w:rsidP="00DC6133">
            <w:pPr>
              <w:spacing w:before="60" w:after="60" w:line="240" w:lineRule="auto"/>
              <w:ind w:hanging="34"/>
              <w:rPr>
                <w:rFonts w:ascii="Times New Roman" w:eastAsia="Calibri" w:hAnsi="Times New Roman" w:cs="Times New Roman"/>
                <w:color w:val="000000"/>
              </w:rPr>
            </w:pPr>
            <w:r w:rsidRPr="00DC6133">
              <w:rPr>
                <w:rFonts w:ascii="Times New Roman" w:eastAsia="Calibri" w:hAnsi="Times New Roman" w:cs="Times New Roman"/>
                <w:color w:val="000000"/>
              </w:rPr>
              <w:t>Dariusz Poznański – Dyrektor Departamentu Zdrowia Publicznego Ministerstwa Zdrowia</w:t>
            </w:r>
          </w:p>
          <w:p w14:paraId="2EDFFF51" w14:textId="78B19076" w:rsidR="00A803E7" w:rsidRPr="00DC6133" w:rsidRDefault="00DC6133" w:rsidP="00DC6133">
            <w:pPr>
              <w:spacing w:before="60" w:after="60" w:line="240" w:lineRule="auto"/>
              <w:ind w:hanging="34"/>
              <w:rPr>
                <w:rFonts w:ascii="Times New Roman" w:eastAsia="Calibri" w:hAnsi="Times New Roman" w:cs="Times New Roman"/>
                <w:color w:val="000000"/>
              </w:rPr>
            </w:pPr>
            <w:r w:rsidRPr="00DC6133">
              <w:rPr>
                <w:rFonts w:ascii="Times New Roman" w:eastAsia="Calibri" w:hAnsi="Times New Roman" w:cs="Times New Roman"/>
                <w:color w:val="000000"/>
              </w:rPr>
              <w:t>Telefon: +48 22 530 03 18, Email: dep-zp@mz.gov.pl</w:t>
            </w:r>
          </w:p>
        </w:tc>
        <w:tc>
          <w:tcPr>
            <w:tcW w:w="4306" w:type="dxa"/>
            <w:gridSpan w:val="11"/>
            <w:shd w:val="clear" w:color="auto" w:fill="FFFFFF"/>
          </w:tcPr>
          <w:p w14:paraId="6252A522" w14:textId="77777777" w:rsidR="00A803E7" w:rsidRPr="00DC6133" w:rsidRDefault="00A803E7" w:rsidP="00A803E7">
            <w:pPr>
              <w:spacing w:before="60" w:after="60" w:line="240" w:lineRule="auto"/>
              <w:rPr>
                <w:rFonts w:ascii="Times New Roman" w:eastAsia="Calibri" w:hAnsi="Times New Roman" w:cs="Times New Roman"/>
                <w:b/>
              </w:rPr>
            </w:pPr>
            <w:r w:rsidRPr="00DC6133">
              <w:rPr>
                <w:rFonts w:ascii="Times New Roman" w:eastAsia="Calibri" w:hAnsi="Times New Roman" w:cs="Times New Roman"/>
                <w:b/>
              </w:rPr>
              <w:t xml:space="preserve">Data sporządzenia: </w:t>
            </w:r>
          </w:p>
          <w:p w14:paraId="1795F9F9" w14:textId="75F43981" w:rsidR="00A803E7" w:rsidRPr="00DC6133" w:rsidRDefault="00B56C42" w:rsidP="00A803E7">
            <w:pPr>
              <w:spacing w:before="60" w:after="60" w:line="240" w:lineRule="auto"/>
              <w:rPr>
                <w:rFonts w:ascii="Times New Roman" w:eastAsia="Calibri" w:hAnsi="Times New Roman" w:cs="Times New Roman"/>
                <w:bCs/>
              </w:rPr>
            </w:pPr>
            <w:r>
              <w:rPr>
                <w:rFonts w:ascii="Times New Roman" w:eastAsia="Calibri" w:hAnsi="Times New Roman" w:cs="Times New Roman"/>
                <w:bCs/>
              </w:rPr>
              <w:t>10</w:t>
            </w:r>
            <w:r w:rsidR="00E3373D">
              <w:rPr>
                <w:rFonts w:ascii="Times New Roman" w:eastAsia="Calibri" w:hAnsi="Times New Roman" w:cs="Times New Roman"/>
                <w:bCs/>
              </w:rPr>
              <w:t>.</w:t>
            </w:r>
            <w:r>
              <w:rPr>
                <w:rFonts w:ascii="Times New Roman" w:eastAsia="Calibri" w:hAnsi="Times New Roman" w:cs="Times New Roman"/>
                <w:bCs/>
              </w:rPr>
              <w:t>05</w:t>
            </w:r>
            <w:r w:rsidR="00A803E7" w:rsidRPr="00DC6133">
              <w:rPr>
                <w:rFonts w:ascii="Times New Roman" w:eastAsia="Calibri" w:hAnsi="Times New Roman" w:cs="Times New Roman"/>
                <w:bCs/>
              </w:rPr>
              <w:t>.202</w:t>
            </w:r>
            <w:r w:rsidR="0066263F">
              <w:rPr>
                <w:rFonts w:ascii="Times New Roman" w:eastAsia="Calibri" w:hAnsi="Times New Roman" w:cs="Times New Roman"/>
                <w:bCs/>
              </w:rPr>
              <w:t>2</w:t>
            </w:r>
          </w:p>
          <w:p w14:paraId="6FA37928" w14:textId="77777777" w:rsidR="00A803E7" w:rsidRPr="00DC6133" w:rsidRDefault="00A803E7" w:rsidP="00A803E7">
            <w:pPr>
              <w:spacing w:before="60" w:after="60" w:line="240" w:lineRule="auto"/>
              <w:rPr>
                <w:rFonts w:ascii="Times New Roman" w:eastAsia="Calibri" w:hAnsi="Times New Roman" w:cs="Times New Roman"/>
                <w:b/>
              </w:rPr>
            </w:pPr>
          </w:p>
          <w:p w14:paraId="6D6BDA1B" w14:textId="77777777" w:rsidR="00A803E7" w:rsidRPr="00DC6133" w:rsidRDefault="00A803E7" w:rsidP="00A803E7">
            <w:pPr>
              <w:spacing w:before="60" w:after="60" w:line="240" w:lineRule="auto"/>
              <w:rPr>
                <w:rFonts w:ascii="Times New Roman" w:eastAsia="Calibri" w:hAnsi="Times New Roman" w:cs="Times New Roman"/>
                <w:b/>
              </w:rPr>
            </w:pPr>
            <w:r w:rsidRPr="00DC6133">
              <w:rPr>
                <w:rFonts w:ascii="Times New Roman" w:eastAsia="Calibri" w:hAnsi="Times New Roman" w:cs="Times New Roman"/>
                <w:b/>
              </w:rPr>
              <w:t xml:space="preserve">Źródło: </w:t>
            </w:r>
            <w:bookmarkStart w:id="1" w:name="Lista1"/>
          </w:p>
          <w:bookmarkEnd w:id="1"/>
          <w:p w14:paraId="5D9B3146" w14:textId="7316505A" w:rsidR="00A803E7" w:rsidRPr="00DC6133" w:rsidRDefault="00A803E7" w:rsidP="00A803E7">
            <w:pPr>
              <w:spacing w:before="60" w:after="60" w:line="240" w:lineRule="auto"/>
              <w:jc w:val="both"/>
              <w:rPr>
                <w:rFonts w:ascii="Times New Roman" w:eastAsia="Calibri" w:hAnsi="Times New Roman" w:cs="Times New Roman"/>
              </w:rPr>
            </w:pPr>
            <w:r w:rsidRPr="00DC6133">
              <w:rPr>
                <w:rFonts w:ascii="Times New Roman" w:eastAsia="Calibri" w:hAnsi="Times New Roman" w:cs="Times New Roman"/>
              </w:rPr>
              <w:t>Art. 33</w:t>
            </w:r>
            <w:r w:rsidR="003F05FF">
              <w:rPr>
                <w:rFonts w:ascii="Times New Roman" w:eastAsia="Calibri" w:hAnsi="Times New Roman" w:cs="Times New Roman"/>
              </w:rPr>
              <w:t>l</w:t>
            </w:r>
            <w:r w:rsidRPr="00DC6133">
              <w:rPr>
                <w:rFonts w:ascii="Times New Roman" w:eastAsia="Calibri" w:hAnsi="Times New Roman" w:cs="Times New Roman"/>
              </w:rPr>
              <w:t xml:space="preserve"> ust. </w:t>
            </w:r>
            <w:r w:rsidR="003F05FF">
              <w:rPr>
                <w:rFonts w:ascii="Times New Roman" w:eastAsia="Calibri" w:hAnsi="Times New Roman" w:cs="Times New Roman"/>
              </w:rPr>
              <w:t>16</w:t>
            </w:r>
            <w:r w:rsidRPr="00DC6133">
              <w:rPr>
                <w:rFonts w:ascii="Times New Roman" w:eastAsia="Calibri" w:hAnsi="Times New Roman" w:cs="Times New Roman"/>
              </w:rPr>
              <w:t xml:space="preserve"> ustawy z dnia 29 listopada 2000 r. – Prawo atomowe (Dz. U. z 2021 r. poz. </w:t>
            </w:r>
            <w:r w:rsidR="00EB7FA9">
              <w:rPr>
                <w:rFonts w:ascii="Times New Roman" w:eastAsia="Calibri" w:hAnsi="Times New Roman" w:cs="Times New Roman"/>
              </w:rPr>
              <w:t>1941</w:t>
            </w:r>
            <w:r w:rsidR="0040727E">
              <w:rPr>
                <w:rFonts w:ascii="Times New Roman" w:eastAsia="Calibri" w:hAnsi="Times New Roman" w:cs="Times New Roman"/>
              </w:rPr>
              <w:t xml:space="preserve">, z </w:t>
            </w:r>
            <w:proofErr w:type="spellStart"/>
            <w:r w:rsidR="0040727E">
              <w:rPr>
                <w:rFonts w:ascii="Times New Roman" w:eastAsia="Calibri" w:hAnsi="Times New Roman" w:cs="Times New Roman"/>
              </w:rPr>
              <w:t>późn</w:t>
            </w:r>
            <w:proofErr w:type="spellEnd"/>
            <w:r w:rsidR="0040727E">
              <w:rPr>
                <w:rFonts w:ascii="Times New Roman" w:eastAsia="Calibri" w:hAnsi="Times New Roman" w:cs="Times New Roman"/>
              </w:rPr>
              <w:t>. zm.</w:t>
            </w:r>
            <w:r w:rsidR="007C6126">
              <w:rPr>
                <w:rFonts w:ascii="Times New Roman" w:eastAsia="Calibri" w:hAnsi="Times New Roman" w:cs="Times New Roman"/>
              </w:rPr>
              <w:t>)</w:t>
            </w:r>
          </w:p>
          <w:p w14:paraId="25BE20D3" w14:textId="77777777" w:rsidR="00A803E7" w:rsidRPr="00DC6133" w:rsidRDefault="00A803E7" w:rsidP="00A803E7">
            <w:pPr>
              <w:spacing w:before="60" w:after="60" w:line="240" w:lineRule="auto"/>
              <w:rPr>
                <w:rFonts w:ascii="Times New Roman" w:eastAsia="Calibri" w:hAnsi="Times New Roman" w:cs="Times New Roman"/>
              </w:rPr>
            </w:pPr>
          </w:p>
          <w:p w14:paraId="5409A131" w14:textId="77777777" w:rsidR="00DC6133" w:rsidRPr="00DC6133" w:rsidRDefault="00DC6133" w:rsidP="00DC6133">
            <w:pPr>
              <w:spacing w:before="60" w:after="60" w:line="240" w:lineRule="auto"/>
              <w:rPr>
                <w:rFonts w:ascii="Times New Roman" w:eastAsia="Calibri" w:hAnsi="Times New Roman" w:cs="Times New Roman"/>
                <w:b/>
                <w:color w:val="000000"/>
              </w:rPr>
            </w:pPr>
            <w:r w:rsidRPr="00DC6133">
              <w:rPr>
                <w:rFonts w:ascii="Times New Roman" w:eastAsia="Calibri" w:hAnsi="Times New Roman" w:cs="Times New Roman"/>
                <w:b/>
                <w:color w:val="000000"/>
              </w:rPr>
              <w:t>Nr w wykazie prac legislacyjnych Ministra Zdrowia:</w:t>
            </w:r>
          </w:p>
          <w:p w14:paraId="70B9F114" w14:textId="5C5547E3" w:rsidR="00A803E7" w:rsidRPr="00DC6133" w:rsidRDefault="00DC6133" w:rsidP="00DC6133">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b/>
                <w:color w:val="000000"/>
              </w:rPr>
              <w:t xml:space="preserve">MZ </w:t>
            </w:r>
            <w:r w:rsidR="002625F9">
              <w:rPr>
                <w:rFonts w:ascii="Times New Roman" w:eastAsia="Calibri" w:hAnsi="Times New Roman" w:cs="Times New Roman"/>
                <w:b/>
                <w:color w:val="000000"/>
              </w:rPr>
              <w:t>1324</w:t>
            </w:r>
          </w:p>
        </w:tc>
      </w:tr>
      <w:tr w:rsidR="00A803E7" w:rsidRPr="00DC6133" w14:paraId="1A91EEEE" w14:textId="77777777" w:rsidTr="00F555A5">
        <w:trPr>
          <w:gridAfter w:val="1"/>
          <w:wAfter w:w="10" w:type="dxa"/>
          <w:trHeight w:val="142"/>
          <w:jc w:val="center"/>
        </w:trPr>
        <w:tc>
          <w:tcPr>
            <w:tcW w:w="10937" w:type="dxa"/>
            <w:gridSpan w:val="29"/>
            <w:shd w:val="clear" w:color="auto" w:fill="99CCFF"/>
          </w:tcPr>
          <w:p w14:paraId="6360FB34" w14:textId="77777777" w:rsidR="00A803E7" w:rsidRPr="00DC6133" w:rsidRDefault="00A803E7" w:rsidP="00A803E7">
            <w:pPr>
              <w:spacing w:before="60" w:after="60" w:line="240" w:lineRule="auto"/>
              <w:ind w:left="57"/>
              <w:jc w:val="center"/>
              <w:rPr>
                <w:rFonts w:ascii="Times New Roman" w:eastAsia="Calibri" w:hAnsi="Times New Roman" w:cs="Times New Roman"/>
                <w:b/>
                <w:color w:val="FFFFFF"/>
              </w:rPr>
            </w:pPr>
            <w:r w:rsidRPr="00DC6133">
              <w:rPr>
                <w:rFonts w:ascii="Times New Roman" w:eastAsia="Calibri" w:hAnsi="Times New Roman" w:cs="Times New Roman"/>
                <w:b/>
                <w:color w:val="FFFFFF"/>
              </w:rPr>
              <w:t>OCENA SKUTKÓW REGULACJI</w:t>
            </w:r>
          </w:p>
        </w:tc>
      </w:tr>
      <w:tr w:rsidR="00A803E7" w:rsidRPr="00DC6133" w14:paraId="59020002" w14:textId="77777777" w:rsidTr="00F555A5">
        <w:trPr>
          <w:gridAfter w:val="1"/>
          <w:wAfter w:w="10" w:type="dxa"/>
          <w:trHeight w:val="333"/>
          <w:jc w:val="center"/>
        </w:trPr>
        <w:tc>
          <w:tcPr>
            <w:tcW w:w="10937" w:type="dxa"/>
            <w:gridSpan w:val="29"/>
            <w:shd w:val="clear" w:color="auto" w:fill="99CCFF"/>
            <w:vAlign w:val="center"/>
          </w:tcPr>
          <w:p w14:paraId="6B87EFA8" w14:textId="77777777" w:rsidR="00A803E7" w:rsidRPr="00DC6133" w:rsidRDefault="00A803E7" w:rsidP="00A803E7">
            <w:pPr>
              <w:numPr>
                <w:ilvl w:val="0"/>
                <w:numId w:val="1"/>
              </w:numPr>
              <w:spacing w:before="60" w:after="60" w:line="240" w:lineRule="auto"/>
              <w:ind w:left="318" w:hanging="284"/>
              <w:jc w:val="both"/>
              <w:rPr>
                <w:rFonts w:ascii="Times New Roman" w:eastAsia="Calibri" w:hAnsi="Times New Roman" w:cs="Times New Roman"/>
                <w:b/>
                <w:color w:val="000000"/>
              </w:rPr>
            </w:pPr>
            <w:r w:rsidRPr="00DC6133">
              <w:rPr>
                <w:rFonts w:ascii="Times New Roman" w:eastAsia="Calibri" w:hAnsi="Times New Roman" w:cs="Times New Roman"/>
                <w:b/>
              </w:rPr>
              <w:t>Jaki problem jest rozwiązywany?</w:t>
            </w:r>
            <w:bookmarkStart w:id="2" w:name="Wybór1"/>
            <w:bookmarkEnd w:id="2"/>
          </w:p>
        </w:tc>
      </w:tr>
      <w:tr w:rsidR="00A803E7" w:rsidRPr="00DC6133" w14:paraId="4AAC1D93" w14:textId="77777777" w:rsidTr="00F555A5">
        <w:trPr>
          <w:gridAfter w:val="1"/>
          <w:wAfter w:w="10" w:type="dxa"/>
          <w:trHeight w:val="142"/>
          <w:jc w:val="center"/>
        </w:trPr>
        <w:tc>
          <w:tcPr>
            <w:tcW w:w="10937" w:type="dxa"/>
            <w:gridSpan w:val="29"/>
            <w:shd w:val="clear" w:color="auto" w:fill="FFFFFF"/>
          </w:tcPr>
          <w:p w14:paraId="73307063" w14:textId="7ED06759" w:rsidR="003F05FF" w:rsidRPr="003F05FF" w:rsidRDefault="003F05FF" w:rsidP="003F05FF">
            <w:pPr>
              <w:spacing w:before="60" w:after="60" w:line="240" w:lineRule="auto"/>
              <w:jc w:val="both"/>
              <w:rPr>
                <w:rFonts w:ascii="Times New Roman" w:eastAsia="Calibri" w:hAnsi="Times New Roman" w:cs="Times New Roman"/>
                <w:color w:val="000000"/>
              </w:rPr>
            </w:pPr>
            <w:r w:rsidRPr="003F05FF">
              <w:rPr>
                <w:rFonts w:ascii="Times New Roman" w:eastAsia="Calibri" w:hAnsi="Times New Roman" w:cs="Times New Roman"/>
                <w:color w:val="000000"/>
              </w:rPr>
              <w:t>Projekt rozporządzenia w sprawie testów eksploatacyjnych urządzeń radiologicznych i urządzeń pomocniczych stanowi realizację upoważnienia ustawowego zawartego w art. 33l ust. 16 ustawy – Prawo atomowe w brzmieniu nadanym ustawą</w:t>
            </w:r>
            <w:r w:rsidR="001B29B2">
              <w:rPr>
                <w:rFonts w:ascii="Times New Roman" w:eastAsia="Calibri" w:hAnsi="Times New Roman" w:cs="Times New Roman"/>
                <w:color w:val="000000"/>
              </w:rPr>
              <w:t xml:space="preserve"> z dnia 13 czerwca 2019 r. </w:t>
            </w:r>
            <w:r w:rsidRPr="003F05FF">
              <w:rPr>
                <w:rFonts w:ascii="Times New Roman" w:eastAsia="Calibri" w:hAnsi="Times New Roman" w:cs="Times New Roman"/>
                <w:color w:val="000000"/>
              </w:rPr>
              <w:t>o zmianie ustawy – Prawo atomowe oraz ustawy o ochronie przeciwpożarowej</w:t>
            </w:r>
            <w:r w:rsidR="001B29B2">
              <w:rPr>
                <w:rFonts w:ascii="Times New Roman" w:eastAsia="Calibri" w:hAnsi="Times New Roman" w:cs="Times New Roman"/>
                <w:color w:val="000000"/>
              </w:rPr>
              <w:t xml:space="preserve"> (Dz. U. z 1593 r. oraz z 2020 r. poz. 284)</w:t>
            </w:r>
            <w:r w:rsidRPr="003F05FF">
              <w:rPr>
                <w:rFonts w:ascii="Times New Roman" w:eastAsia="Calibri" w:hAnsi="Times New Roman" w:cs="Times New Roman"/>
                <w:color w:val="000000"/>
              </w:rPr>
              <w:t xml:space="preserve">. </w:t>
            </w:r>
          </w:p>
          <w:p w14:paraId="33EA17B8" w14:textId="62AB3B4E" w:rsidR="00112BFF" w:rsidRDefault="003F05FF" w:rsidP="00112BFF">
            <w:pPr>
              <w:spacing w:before="60" w:after="60" w:line="240" w:lineRule="auto"/>
              <w:jc w:val="both"/>
              <w:rPr>
                <w:rFonts w:ascii="Times New Roman" w:eastAsia="Calibri" w:hAnsi="Times New Roman" w:cs="Times New Roman"/>
                <w:color w:val="000000"/>
              </w:rPr>
            </w:pPr>
            <w:r w:rsidRPr="003F05FF">
              <w:rPr>
                <w:rFonts w:ascii="Times New Roman" w:eastAsia="Calibri" w:hAnsi="Times New Roman" w:cs="Times New Roman"/>
                <w:color w:val="000000"/>
              </w:rPr>
              <w:t xml:space="preserve">Zgodnie z ww. upoważnieniem minister właściwy do spraw zdrowia określi </w:t>
            </w:r>
            <w:r w:rsidR="00112BFF" w:rsidRPr="00112BFF">
              <w:rPr>
                <w:rFonts w:ascii="Times New Roman" w:eastAsia="Calibri" w:hAnsi="Times New Roman" w:cs="Times New Roman"/>
                <w:color w:val="000000"/>
              </w:rPr>
              <w:t>zakres oraz częstotliwość wykonywania testów eksploatacyjnych, a także dopuszczalne odchylenia badanych fizycznych parametrów dla urządzeń radiologicznych oraz urządzeń pomocniczych, mając na względzie zapewnienie wysokiej jakości świadczeń zdrowotnych realizowanych przy użyciu takich urządzeń, specyfikę poszczególnych urządzeń oraz uwzględniając zalecenia i wytyczne międzynarodowych organizacji zajmujących się stosowaniem promieniowania jonizującego.</w:t>
            </w:r>
          </w:p>
          <w:p w14:paraId="1AF52C2B" w14:textId="3AC428C3" w:rsidR="00A803E7" w:rsidRPr="00DC6133" w:rsidRDefault="003F05FF" w:rsidP="00112BFF">
            <w:pPr>
              <w:spacing w:before="60" w:after="60" w:line="240" w:lineRule="auto"/>
              <w:jc w:val="both"/>
              <w:rPr>
                <w:rFonts w:ascii="Times New Roman" w:eastAsia="Calibri" w:hAnsi="Times New Roman" w:cs="Times New Roman"/>
                <w:color w:val="000000"/>
              </w:rPr>
            </w:pPr>
            <w:r w:rsidRPr="003F05FF">
              <w:rPr>
                <w:rFonts w:ascii="Times New Roman" w:eastAsia="Calibri" w:hAnsi="Times New Roman" w:cs="Times New Roman"/>
                <w:color w:val="000000"/>
              </w:rPr>
              <w:t>W dotychczasowym stanie prawnym, tj. przed wejściem w życie nowelizacji ustawy</w:t>
            </w:r>
            <w:r w:rsidR="00112BFF">
              <w:rPr>
                <w:rFonts w:ascii="Times New Roman" w:eastAsia="Calibri" w:hAnsi="Times New Roman" w:cs="Times New Roman"/>
                <w:color w:val="000000"/>
              </w:rPr>
              <w:t xml:space="preserve"> z dnia 13 czerwca 2019 r., </w:t>
            </w:r>
            <w:r w:rsidRPr="003F05FF">
              <w:rPr>
                <w:rFonts w:ascii="Times New Roman" w:eastAsia="Calibri" w:hAnsi="Times New Roman" w:cs="Times New Roman"/>
                <w:color w:val="000000"/>
              </w:rPr>
              <w:t>wdrażającej dyrektywę 2013/59/</w:t>
            </w:r>
            <w:proofErr w:type="spellStart"/>
            <w:r w:rsidRPr="003F05FF">
              <w:rPr>
                <w:rFonts w:ascii="Times New Roman" w:eastAsia="Calibri" w:hAnsi="Times New Roman" w:cs="Times New Roman"/>
                <w:color w:val="000000"/>
              </w:rPr>
              <w:t>Euratom</w:t>
            </w:r>
            <w:proofErr w:type="spellEnd"/>
            <w:r w:rsidRPr="003F05FF">
              <w:rPr>
                <w:rFonts w:ascii="Times New Roman" w:eastAsia="Calibri" w:hAnsi="Times New Roman" w:cs="Times New Roman"/>
                <w:color w:val="000000"/>
              </w:rPr>
              <w:t xml:space="preserve"> ustanawiającej podstawowe normy bezpieczeństwa w celu ochrony przed zagrożeniami wynikającymi z narażenia na działanie promieniowania jonizującego oraz uchylającej dyrektywy 89/618/</w:t>
            </w:r>
            <w:proofErr w:type="spellStart"/>
            <w:r w:rsidRPr="003F05FF">
              <w:rPr>
                <w:rFonts w:ascii="Times New Roman" w:eastAsia="Calibri" w:hAnsi="Times New Roman" w:cs="Times New Roman"/>
                <w:color w:val="000000"/>
              </w:rPr>
              <w:t>Euratom</w:t>
            </w:r>
            <w:proofErr w:type="spellEnd"/>
            <w:r w:rsidRPr="003F05FF">
              <w:rPr>
                <w:rFonts w:ascii="Times New Roman" w:eastAsia="Calibri" w:hAnsi="Times New Roman" w:cs="Times New Roman"/>
                <w:color w:val="000000"/>
              </w:rPr>
              <w:t>, 90/641/</w:t>
            </w:r>
            <w:proofErr w:type="spellStart"/>
            <w:r w:rsidRPr="003F05FF">
              <w:rPr>
                <w:rFonts w:ascii="Times New Roman" w:eastAsia="Calibri" w:hAnsi="Times New Roman" w:cs="Times New Roman"/>
                <w:color w:val="000000"/>
              </w:rPr>
              <w:t>Euratom</w:t>
            </w:r>
            <w:proofErr w:type="spellEnd"/>
            <w:r w:rsidRPr="003F05FF">
              <w:rPr>
                <w:rFonts w:ascii="Times New Roman" w:eastAsia="Calibri" w:hAnsi="Times New Roman" w:cs="Times New Roman"/>
                <w:color w:val="000000"/>
              </w:rPr>
              <w:t>, 96/29/</w:t>
            </w:r>
            <w:proofErr w:type="spellStart"/>
            <w:r w:rsidRPr="003F05FF">
              <w:rPr>
                <w:rFonts w:ascii="Times New Roman" w:eastAsia="Calibri" w:hAnsi="Times New Roman" w:cs="Times New Roman"/>
                <w:color w:val="000000"/>
              </w:rPr>
              <w:t>Euratom</w:t>
            </w:r>
            <w:proofErr w:type="spellEnd"/>
            <w:r w:rsidRPr="003F05FF">
              <w:rPr>
                <w:rFonts w:ascii="Times New Roman" w:eastAsia="Calibri" w:hAnsi="Times New Roman" w:cs="Times New Roman"/>
                <w:color w:val="000000"/>
              </w:rPr>
              <w:t>, 97/43/</w:t>
            </w:r>
            <w:proofErr w:type="spellStart"/>
            <w:r w:rsidRPr="003F05FF">
              <w:rPr>
                <w:rFonts w:ascii="Times New Roman" w:eastAsia="Calibri" w:hAnsi="Times New Roman" w:cs="Times New Roman"/>
                <w:color w:val="000000"/>
              </w:rPr>
              <w:t>Euratom</w:t>
            </w:r>
            <w:proofErr w:type="spellEnd"/>
            <w:r w:rsidRPr="003F05FF">
              <w:rPr>
                <w:rFonts w:ascii="Times New Roman" w:eastAsia="Calibri" w:hAnsi="Times New Roman" w:cs="Times New Roman"/>
                <w:color w:val="000000"/>
              </w:rPr>
              <w:t xml:space="preserve"> i 2003/122/</w:t>
            </w:r>
            <w:proofErr w:type="spellStart"/>
            <w:r w:rsidRPr="003F05FF">
              <w:rPr>
                <w:rFonts w:ascii="Times New Roman" w:eastAsia="Calibri" w:hAnsi="Times New Roman" w:cs="Times New Roman"/>
                <w:color w:val="000000"/>
              </w:rPr>
              <w:t>Euratom</w:t>
            </w:r>
            <w:proofErr w:type="spellEnd"/>
            <w:r w:rsidRPr="003F05FF">
              <w:rPr>
                <w:rFonts w:ascii="Times New Roman" w:eastAsia="Calibri" w:hAnsi="Times New Roman" w:cs="Times New Roman"/>
                <w:color w:val="000000"/>
              </w:rPr>
              <w:t>, kwestie objęte projektowanym rozporządzeniem były uregulowane w załączniku nr 6 do rozporządzenia Ministra Zdrowia z dnia 18 lutego 2011 r. w sprawie warunków bezpiecznego stosowania promieniowania jonizującego dla wszystkich rodzajów ekspozycji medycznej (Dz. U. z 2017 r. poz. 884). Zgodnie z 37 ust. 2 pkt 2 ustawy z dnia</w:t>
            </w:r>
            <w:r w:rsidR="00112BFF">
              <w:rPr>
                <w:rFonts w:ascii="Times New Roman" w:eastAsia="Calibri" w:hAnsi="Times New Roman" w:cs="Times New Roman"/>
                <w:color w:val="000000"/>
              </w:rPr>
              <w:t xml:space="preserve"> 13 czerwca 2019 r. </w:t>
            </w:r>
            <w:r w:rsidRPr="003F05FF">
              <w:rPr>
                <w:rFonts w:ascii="Times New Roman" w:eastAsia="Calibri" w:hAnsi="Times New Roman" w:cs="Times New Roman"/>
                <w:color w:val="000000"/>
              </w:rPr>
              <w:t>o zmianie ustawy – Prawo atomowe oraz ustawy o ochronie przeciwpożarowej, rozporządzenie dotychczas regulujące m.in. zakres oraz częstotliwość wykonywania kontroli fizycznych parametrów urządzeń radiologicznych, utraci moc obowiązującą z dniem wejścia w życie niniejszego rozporządzenia.</w:t>
            </w:r>
          </w:p>
        </w:tc>
      </w:tr>
      <w:tr w:rsidR="00A803E7" w:rsidRPr="00DC6133" w14:paraId="7B238DA3" w14:textId="77777777" w:rsidTr="00F555A5">
        <w:trPr>
          <w:gridAfter w:val="1"/>
          <w:wAfter w:w="10" w:type="dxa"/>
          <w:trHeight w:val="142"/>
          <w:jc w:val="center"/>
        </w:trPr>
        <w:tc>
          <w:tcPr>
            <w:tcW w:w="10937" w:type="dxa"/>
            <w:gridSpan w:val="29"/>
            <w:shd w:val="clear" w:color="auto" w:fill="99CCFF"/>
            <w:vAlign w:val="center"/>
          </w:tcPr>
          <w:p w14:paraId="47F773D5" w14:textId="77777777" w:rsidR="00A803E7" w:rsidRPr="00DC6133" w:rsidRDefault="00A803E7" w:rsidP="00A803E7">
            <w:pPr>
              <w:numPr>
                <w:ilvl w:val="0"/>
                <w:numId w:val="1"/>
              </w:numPr>
              <w:spacing w:before="60" w:after="60" w:line="240" w:lineRule="auto"/>
              <w:ind w:left="318" w:hanging="284"/>
              <w:jc w:val="both"/>
              <w:rPr>
                <w:rFonts w:ascii="Times New Roman" w:eastAsia="Calibri" w:hAnsi="Times New Roman" w:cs="Times New Roman"/>
                <w:b/>
                <w:color w:val="000000"/>
              </w:rPr>
            </w:pPr>
            <w:r w:rsidRPr="00DC6133">
              <w:rPr>
                <w:rFonts w:ascii="Times New Roman" w:eastAsia="Calibri" w:hAnsi="Times New Roman" w:cs="Times New Roman"/>
                <w:b/>
                <w:color w:val="000000"/>
              </w:rPr>
              <w:t>Rekomendowane rozwiązanie, w tym planowane narzędzia interwencji, i oczekiwany efekt</w:t>
            </w:r>
          </w:p>
        </w:tc>
      </w:tr>
      <w:tr w:rsidR="00A803E7" w:rsidRPr="00DC6133" w14:paraId="743F8C6A" w14:textId="77777777" w:rsidTr="00F555A5">
        <w:trPr>
          <w:gridAfter w:val="1"/>
          <w:wAfter w:w="10" w:type="dxa"/>
          <w:trHeight w:val="142"/>
          <w:jc w:val="center"/>
        </w:trPr>
        <w:tc>
          <w:tcPr>
            <w:tcW w:w="10937" w:type="dxa"/>
            <w:gridSpan w:val="29"/>
            <w:shd w:val="clear" w:color="auto" w:fill="auto"/>
          </w:tcPr>
          <w:p w14:paraId="2844D8D8" w14:textId="6BEA64D1" w:rsidR="00A803E7" w:rsidRPr="00DC6133" w:rsidRDefault="003F05FF" w:rsidP="00A803E7">
            <w:pPr>
              <w:tabs>
                <w:tab w:val="left" w:pos="6900"/>
              </w:tabs>
              <w:spacing w:before="60" w:after="60" w:line="240" w:lineRule="auto"/>
              <w:jc w:val="both"/>
              <w:rPr>
                <w:rFonts w:ascii="Times New Roman" w:eastAsia="Calibri" w:hAnsi="Times New Roman" w:cs="Times New Roman"/>
                <w:color w:val="000000"/>
              </w:rPr>
            </w:pPr>
            <w:r w:rsidRPr="003F05FF">
              <w:rPr>
                <w:rFonts w:ascii="Times New Roman" w:eastAsia="Calibri" w:hAnsi="Times New Roman" w:cs="Times New Roman"/>
                <w:color w:val="000000"/>
              </w:rPr>
              <w:t xml:space="preserve">Projekt rozporządzenia bazuje na dotychczasowych rozwiązaniach odnoszących się do zakresu oraz częstotliwości wykonywania kontroli fizycznych parametrów urządzeń radiologicznych, tj. na treści załącznika nr 6 do rozporządzenia Ministra Zdrowia z dnia 18 lutego 2011 r. w sprawie warunków bezpiecznego stosowania promieniowania jonizującego dla wszystkich rodzajów ekspozycji medycznej. Nowy zakres testów urządzeń radiologicznych, a także częstotliwość ich przeprowadzania, zostały – w ramach projektowanego rozporządzenia – przyjęte z uwzględnieniem zmian wynikających z rozwoju technologicznego oraz wytycznych, norm oraz zaleceń wydawanych przez organizacje międzynarodowe zajmujące się stosowaniem promieniowania jonizującego. Aktualizacja zakresu testów przeprowadzanych w ramach wymaganej ustawowo kontroli urządzeń radiologicznych (art. 33l ust. 1 ustawy – Prawo atomowe w brzmieniu nadanym ustawą </w:t>
            </w:r>
            <w:r w:rsidR="00112BFF">
              <w:rPr>
                <w:rFonts w:ascii="Times New Roman" w:eastAsia="Calibri" w:hAnsi="Times New Roman" w:cs="Times New Roman"/>
                <w:color w:val="000000"/>
              </w:rPr>
              <w:t xml:space="preserve">z dnia 13 czerwca 2019 r. </w:t>
            </w:r>
            <w:r w:rsidRPr="003F05FF">
              <w:rPr>
                <w:rFonts w:ascii="Times New Roman" w:eastAsia="Calibri" w:hAnsi="Times New Roman" w:cs="Times New Roman"/>
                <w:color w:val="000000"/>
              </w:rPr>
              <w:t>o zmianie ustawy – Prawo atomowe oraz ustawy o ochronie przeciwpożarowej) przyczynią się do przeprowadzania kontroli takich urządzeń w sposób prawidłowy, zgodny z zaleceniami międzynarodowymi. W rezultacie wpłynie to na wzrost poziomu ochrony radiologicznej pacjenta (a także personelu) podczas wykonywania procedur medycznych z wykorzystaniem promieniowania jonizującego.</w:t>
            </w:r>
          </w:p>
        </w:tc>
      </w:tr>
      <w:tr w:rsidR="00A803E7" w:rsidRPr="00DC6133" w14:paraId="61312C59" w14:textId="77777777" w:rsidTr="00F555A5">
        <w:trPr>
          <w:gridAfter w:val="1"/>
          <w:wAfter w:w="10" w:type="dxa"/>
          <w:trHeight w:val="307"/>
          <w:jc w:val="center"/>
        </w:trPr>
        <w:tc>
          <w:tcPr>
            <w:tcW w:w="10937" w:type="dxa"/>
            <w:gridSpan w:val="29"/>
            <w:shd w:val="clear" w:color="auto" w:fill="99CCFF"/>
            <w:vAlign w:val="center"/>
          </w:tcPr>
          <w:p w14:paraId="44FAB651" w14:textId="77777777" w:rsidR="00A803E7" w:rsidRPr="00DC6133" w:rsidRDefault="00A803E7" w:rsidP="00A803E7">
            <w:pPr>
              <w:numPr>
                <w:ilvl w:val="0"/>
                <w:numId w:val="1"/>
              </w:numPr>
              <w:spacing w:before="60" w:after="60" w:line="240" w:lineRule="auto"/>
              <w:ind w:left="318" w:hanging="284"/>
              <w:jc w:val="both"/>
              <w:rPr>
                <w:rFonts w:ascii="Times New Roman" w:eastAsia="Calibri" w:hAnsi="Times New Roman" w:cs="Times New Roman"/>
                <w:b/>
                <w:color w:val="000000"/>
              </w:rPr>
            </w:pPr>
            <w:r w:rsidRPr="00DC6133">
              <w:rPr>
                <w:rFonts w:ascii="Times New Roman" w:eastAsia="Calibri" w:hAnsi="Times New Roman" w:cs="Times New Roman"/>
                <w:b/>
              </w:rPr>
              <w:t>Jak problem został rozwiązany w innych krajach, w szczególności krajach członkowskich OECD/UE</w:t>
            </w:r>
            <w:r w:rsidRPr="00DC6133">
              <w:rPr>
                <w:rFonts w:ascii="Times New Roman" w:eastAsia="Calibri" w:hAnsi="Times New Roman" w:cs="Times New Roman"/>
                <w:b/>
                <w:color w:val="000000"/>
              </w:rPr>
              <w:t>?</w:t>
            </w:r>
            <w:r w:rsidRPr="00DC6133">
              <w:rPr>
                <w:rFonts w:ascii="Times New Roman" w:eastAsia="Calibri" w:hAnsi="Times New Roman" w:cs="Times New Roman"/>
                <w:color w:val="000000"/>
              </w:rPr>
              <w:t xml:space="preserve"> </w:t>
            </w:r>
          </w:p>
        </w:tc>
      </w:tr>
      <w:tr w:rsidR="00A803E7" w:rsidRPr="003F05FF" w14:paraId="32735229" w14:textId="77777777" w:rsidTr="00F555A5">
        <w:trPr>
          <w:gridAfter w:val="1"/>
          <w:wAfter w:w="10" w:type="dxa"/>
          <w:trHeight w:val="142"/>
          <w:jc w:val="center"/>
        </w:trPr>
        <w:tc>
          <w:tcPr>
            <w:tcW w:w="10937" w:type="dxa"/>
            <w:gridSpan w:val="29"/>
            <w:shd w:val="clear" w:color="auto" w:fill="auto"/>
          </w:tcPr>
          <w:p w14:paraId="1A076554" w14:textId="77777777" w:rsidR="003F05FF" w:rsidRPr="00E83D39" w:rsidRDefault="003F05FF" w:rsidP="00E83D39">
            <w:pPr>
              <w:spacing w:before="60" w:after="60" w:line="240" w:lineRule="auto"/>
              <w:jc w:val="both"/>
              <w:rPr>
                <w:rFonts w:ascii="Times New Roman" w:eastAsia="Calibri" w:hAnsi="Times New Roman" w:cs="Times New Roman"/>
                <w:color w:val="000000"/>
              </w:rPr>
            </w:pPr>
            <w:r w:rsidRPr="00E83D39">
              <w:rPr>
                <w:rFonts w:ascii="Times New Roman" w:eastAsia="Calibri" w:hAnsi="Times New Roman" w:cs="Times New Roman"/>
                <w:color w:val="000000"/>
              </w:rPr>
              <w:t>Na podstawie dotychczas obowiązującej dyrektywy Rady 97/43/EURATOM z 30 czerwca 1997 r. w sprawie ochrony zdrowia osób fizycznych przed niebezpieczeństwem wynikającym z promieniowania jonizującego związanego z badaniami medycznymi oraz uchylającej dyrektywę 84/466/</w:t>
            </w:r>
            <w:proofErr w:type="spellStart"/>
            <w:r w:rsidRPr="00E83D39">
              <w:rPr>
                <w:rFonts w:ascii="Times New Roman" w:eastAsia="Calibri" w:hAnsi="Times New Roman" w:cs="Times New Roman"/>
                <w:color w:val="000000"/>
              </w:rPr>
              <w:t>Euratom</w:t>
            </w:r>
            <w:proofErr w:type="spellEnd"/>
            <w:r w:rsidRPr="00E83D39">
              <w:rPr>
                <w:rFonts w:ascii="Times New Roman" w:eastAsia="Calibri" w:hAnsi="Times New Roman" w:cs="Times New Roman"/>
                <w:color w:val="000000"/>
              </w:rPr>
              <w:t xml:space="preserve">, państwa członkowskie UE są zobowiązane do </w:t>
            </w:r>
            <w:r w:rsidRPr="00E83D39">
              <w:rPr>
                <w:rFonts w:ascii="Times New Roman" w:eastAsia="Calibri" w:hAnsi="Times New Roman" w:cs="Times New Roman"/>
                <w:color w:val="000000"/>
              </w:rPr>
              <w:lastRenderedPageBreak/>
              <w:t xml:space="preserve">kontroli będących w użyciu urządzeń radiologicznych (w związku z ochroną przed promieniowaniem). Szczegółowy zakres tej kontroli, a więc rodzaje i zakres testów stosowanych w odniesieniu do urządzeń radiologicznych nie został przesądzony przez przepisy tej dyrektywy, w konsekwencji czego poszczególne państwa ustalają go odrębnie na podstawie publikacji, raportów i wytycznych międzynarodowych organizacji zajmujących się kwestiami stosowania promieniowania jonizującego, np. na podstawie publikacji i raportów IAEA (International </w:t>
            </w:r>
            <w:proofErr w:type="spellStart"/>
            <w:r w:rsidRPr="00E83D39">
              <w:rPr>
                <w:rFonts w:ascii="Times New Roman" w:eastAsia="Calibri" w:hAnsi="Times New Roman" w:cs="Times New Roman"/>
                <w:color w:val="000000"/>
              </w:rPr>
              <w:t>Atomic</w:t>
            </w:r>
            <w:proofErr w:type="spellEnd"/>
            <w:r w:rsidRPr="00E83D39">
              <w:rPr>
                <w:rFonts w:ascii="Times New Roman" w:eastAsia="Calibri" w:hAnsi="Times New Roman" w:cs="Times New Roman"/>
                <w:color w:val="000000"/>
              </w:rPr>
              <w:t xml:space="preserve"> Energy </w:t>
            </w:r>
            <w:proofErr w:type="spellStart"/>
            <w:r w:rsidRPr="00E83D39">
              <w:rPr>
                <w:rFonts w:ascii="Times New Roman" w:eastAsia="Calibri" w:hAnsi="Times New Roman" w:cs="Times New Roman"/>
                <w:color w:val="000000"/>
              </w:rPr>
              <w:t>Agency</w:t>
            </w:r>
            <w:proofErr w:type="spellEnd"/>
            <w:r w:rsidRPr="00E83D39">
              <w:rPr>
                <w:rFonts w:ascii="Times New Roman" w:eastAsia="Calibri" w:hAnsi="Times New Roman" w:cs="Times New Roman"/>
                <w:color w:val="000000"/>
              </w:rPr>
              <w:t xml:space="preserve">), </w:t>
            </w:r>
            <w:proofErr w:type="spellStart"/>
            <w:r w:rsidRPr="00E83D39">
              <w:rPr>
                <w:rFonts w:ascii="Times New Roman" w:eastAsia="Calibri" w:hAnsi="Times New Roman" w:cs="Times New Roman"/>
                <w:color w:val="000000"/>
              </w:rPr>
              <w:t>Institute</w:t>
            </w:r>
            <w:proofErr w:type="spellEnd"/>
            <w:r w:rsidRPr="00E83D39">
              <w:rPr>
                <w:rFonts w:ascii="Times New Roman" w:eastAsia="Calibri" w:hAnsi="Times New Roman" w:cs="Times New Roman"/>
                <w:color w:val="000000"/>
              </w:rPr>
              <w:t xml:space="preserve"> of </w:t>
            </w:r>
            <w:proofErr w:type="spellStart"/>
            <w:r w:rsidRPr="00E83D39">
              <w:rPr>
                <w:rFonts w:ascii="Times New Roman" w:eastAsia="Calibri" w:hAnsi="Times New Roman" w:cs="Times New Roman"/>
                <w:color w:val="000000"/>
              </w:rPr>
              <w:t>Physics</w:t>
            </w:r>
            <w:proofErr w:type="spellEnd"/>
            <w:r w:rsidRPr="00E83D39">
              <w:rPr>
                <w:rFonts w:ascii="Times New Roman" w:eastAsia="Calibri" w:hAnsi="Times New Roman" w:cs="Times New Roman"/>
                <w:color w:val="000000"/>
              </w:rPr>
              <w:t xml:space="preserve"> and Engineering in </w:t>
            </w:r>
            <w:proofErr w:type="spellStart"/>
            <w:r w:rsidRPr="00E83D39">
              <w:rPr>
                <w:rFonts w:ascii="Times New Roman" w:eastAsia="Calibri" w:hAnsi="Times New Roman" w:cs="Times New Roman"/>
                <w:color w:val="000000"/>
              </w:rPr>
              <w:t>Medicine</w:t>
            </w:r>
            <w:proofErr w:type="spellEnd"/>
            <w:r w:rsidRPr="00E83D39">
              <w:rPr>
                <w:rFonts w:ascii="Times New Roman" w:eastAsia="Calibri" w:hAnsi="Times New Roman" w:cs="Times New Roman"/>
                <w:color w:val="000000"/>
              </w:rPr>
              <w:t xml:space="preserve"> (IPEM), czy też raportów </w:t>
            </w:r>
            <w:proofErr w:type="spellStart"/>
            <w:r w:rsidRPr="00E83D39">
              <w:rPr>
                <w:rFonts w:ascii="Times New Roman" w:eastAsia="Calibri" w:hAnsi="Times New Roman" w:cs="Times New Roman"/>
                <w:color w:val="000000"/>
              </w:rPr>
              <w:t>Radiation</w:t>
            </w:r>
            <w:proofErr w:type="spellEnd"/>
            <w:r w:rsidRPr="00E83D39">
              <w:rPr>
                <w:rFonts w:ascii="Times New Roman" w:eastAsia="Calibri" w:hAnsi="Times New Roman" w:cs="Times New Roman"/>
                <w:color w:val="000000"/>
              </w:rPr>
              <w:t xml:space="preserve"> </w:t>
            </w:r>
            <w:proofErr w:type="spellStart"/>
            <w:r w:rsidRPr="00E83D39">
              <w:rPr>
                <w:rFonts w:ascii="Times New Roman" w:eastAsia="Calibri" w:hAnsi="Times New Roman" w:cs="Times New Roman"/>
                <w:color w:val="000000"/>
              </w:rPr>
              <w:t>Protection</w:t>
            </w:r>
            <w:proofErr w:type="spellEnd"/>
            <w:r w:rsidRPr="00E83D39">
              <w:rPr>
                <w:rFonts w:ascii="Times New Roman" w:eastAsia="Calibri" w:hAnsi="Times New Roman" w:cs="Times New Roman"/>
                <w:color w:val="000000"/>
              </w:rPr>
              <w:t>, wydawanych przez Komisję Europejską, tj. źródeł, na których opierano się również przy tworzeniu wykazu testów objętego projektem niniejszego rozporządzenia. W poszczególnych krajach, których rozwiązania w tym zakresie były analizowane, tj. w krajach takich jak Niemcy, Austria, Wielka Brytania oraz Francja częstotliwość i zakres wykonywanych testów jest określona w zbliżony sposób.</w:t>
            </w:r>
          </w:p>
          <w:p w14:paraId="28C702A3" w14:textId="77777777" w:rsidR="003F05FF" w:rsidRPr="00E83D39" w:rsidRDefault="003F05FF" w:rsidP="00E83D39">
            <w:pPr>
              <w:spacing w:before="60" w:after="60" w:line="240" w:lineRule="auto"/>
              <w:jc w:val="both"/>
              <w:rPr>
                <w:rFonts w:ascii="Times New Roman" w:eastAsia="Calibri" w:hAnsi="Times New Roman" w:cs="Times New Roman"/>
                <w:color w:val="000000"/>
              </w:rPr>
            </w:pPr>
            <w:r w:rsidRPr="00E83D39">
              <w:rPr>
                <w:rFonts w:ascii="Times New Roman" w:eastAsia="Calibri" w:hAnsi="Times New Roman" w:cs="Times New Roman"/>
                <w:color w:val="000000"/>
              </w:rPr>
              <w:t xml:space="preserve">W Niemczech zakres oraz częstotliwość wykonywania testów kontroli jakości urządzeń radiologicznych zawarte zostały w Wytycznej o realizacji jakości aparatów rentgenowskich do badania lub leczenia ludzi według §16 i §17 rozporządzenia rentgenowskiego (Wytyczna </w:t>
            </w:r>
            <w:proofErr w:type="spellStart"/>
            <w:r w:rsidRPr="00E83D39">
              <w:rPr>
                <w:rFonts w:ascii="Times New Roman" w:eastAsia="Calibri" w:hAnsi="Times New Roman" w:cs="Times New Roman"/>
                <w:color w:val="000000"/>
              </w:rPr>
              <w:t>Qs</w:t>
            </w:r>
            <w:proofErr w:type="spellEnd"/>
            <w:r w:rsidRPr="00E83D39">
              <w:rPr>
                <w:rFonts w:ascii="Times New Roman" w:eastAsia="Calibri" w:hAnsi="Times New Roman" w:cs="Times New Roman"/>
                <w:color w:val="000000"/>
              </w:rPr>
              <w:t>-RL). Wytyczna ta określa szczegółowo zakres oraz częstotliwość wykonywania testów kontroli jakości poszczególnych urządzeń radiologicznych. Częstotliwość wykonywania testów, w zależności od typu badania, wynosi od codziennie do co roku. Na testy kontroli jakości składają się badania zatwierdzające (testy dopuszczające urządzenie do stosowania) oraz okresowe (wykonywane w trakcie eksploatacji urządzenia).</w:t>
            </w:r>
          </w:p>
          <w:p w14:paraId="75BCE6C0" w14:textId="77777777" w:rsidR="003F05FF" w:rsidRPr="00E83D39" w:rsidRDefault="003F05FF" w:rsidP="00E83D39">
            <w:pPr>
              <w:spacing w:before="60" w:after="60" w:line="240" w:lineRule="auto"/>
              <w:jc w:val="both"/>
              <w:rPr>
                <w:rFonts w:ascii="Times New Roman" w:eastAsia="Calibri" w:hAnsi="Times New Roman" w:cs="Times New Roman"/>
                <w:color w:val="000000"/>
              </w:rPr>
            </w:pPr>
            <w:r w:rsidRPr="00E83D39">
              <w:rPr>
                <w:rFonts w:ascii="Times New Roman" w:eastAsia="Calibri" w:hAnsi="Times New Roman" w:cs="Times New Roman"/>
                <w:color w:val="000000"/>
              </w:rPr>
              <w:t>W Austrii system kontroli jakości jest podobny do niemieckiego i opiera się na badaniach zatwierdzających i okresowych. Obowiązek przeprowadzania badań jakości w określonych odstępach czasu nałożony został na posiadacza zezwolenia na prowadzenie działalności związanej z narażeniem na promieniowanie jonizujące. Testy są wykonywane przez odpowiednio przeszkolone osoby, w szczególności personel danej jednostki ochrony zdrowia. Częstotliwość, zakres oraz kryteria testów ustalane są w odpowiednich normach technicznych, a w przypadku braku odpowiednich norm są one określane samodzielnie przez jednostkę, w oparciu o właściwości urządzenia i wymogi ochrony przed promieniowaniem.</w:t>
            </w:r>
          </w:p>
          <w:p w14:paraId="6AED5526" w14:textId="77777777" w:rsidR="003F05FF" w:rsidRPr="00E83D39" w:rsidRDefault="003F05FF" w:rsidP="00E83D39">
            <w:pPr>
              <w:spacing w:before="60" w:after="60" w:line="240" w:lineRule="auto"/>
              <w:jc w:val="both"/>
              <w:rPr>
                <w:rFonts w:ascii="Times New Roman" w:eastAsia="Calibri" w:hAnsi="Times New Roman" w:cs="Times New Roman"/>
                <w:color w:val="000000"/>
              </w:rPr>
            </w:pPr>
            <w:r w:rsidRPr="00E83D39">
              <w:rPr>
                <w:rFonts w:ascii="Times New Roman" w:eastAsia="Calibri" w:hAnsi="Times New Roman" w:cs="Times New Roman"/>
                <w:color w:val="000000"/>
              </w:rPr>
              <w:t xml:space="preserve">W Wielkiej Brytanii częstotliwość wykonywania i dopuszczalny zakres testów może być ustalany albo na podstawie wytycznych odpowiednich instytutów i organizacji międzynarodowych, np. British </w:t>
            </w:r>
            <w:proofErr w:type="spellStart"/>
            <w:r w:rsidRPr="00E83D39">
              <w:rPr>
                <w:rFonts w:ascii="Times New Roman" w:eastAsia="Calibri" w:hAnsi="Times New Roman" w:cs="Times New Roman"/>
                <w:color w:val="000000"/>
              </w:rPr>
              <w:t>Institute</w:t>
            </w:r>
            <w:proofErr w:type="spellEnd"/>
            <w:r w:rsidRPr="00E83D39">
              <w:rPr>
                <w:rFonts w:ascii="Times New Roman" w:eastAsia="Calibri" w:hAnsi="Times New Roman" w:cs="Times New Roman"/>
                <w:color w:val="000000"/>
              </w:rPr>
              <w:t xml:space="preserve"> of </w:t>
            </w:r>
            <w:proofErr w:type="spellStart"/>
            <w:r w:rsidRPr="00E83D39">
              <w:rPr>
                <w:rFonts w:ascii="Times New Roman" w:eastAsia="Calibri" w:hAnsi="Times New Roman" w:cs="Times New Roman"/>
                <w:color w:val="000000"/>
              </w:rPr>
              <w:t>Radiology</w:t>
            </w:r>
            <w:proofErr w:type="spellEnd"/>
            <w:r w:rsidRPr="00E83D39">
              <w:rPr>
                <w:rFonts w:ascii="Times New Roman" w:eastAsia="Calibri" w:hAnsi="Times New Roman" w:cs="Times New Roman"/>
                <w:color w:val="000000"/>
              </w:rPr>
              <w:t>, albo w oparciu o wiedzę i doświadczenie osoby odpowiedzialnej w danej jednostce za realizację kontroli jakości urządzeń radiologicznych. Częstotliwość wykonywania testów, w zależności od typu, wynosi codziennie do co roku.</w:t>
            </w:r>
          </w:p>
          <w:p w14:paraId="48F67856" w14:textId="2DE88752" w:rsidR="00A803E7" w:rsidRPr="00E83D39" w:rsidRDefault="003F05FF" w:rsidP="00E83D39">
            <w:pPr>
              <w:spacing w:before="60" w:after="60" w:line="240" w:lineRule="auto"/>
              <w:jc w:val="both"/>
              <w:rPr>
                <w:rFonts w:ascii="Times New Roman" w:eastAsia="Calibri" w:hAnsi="Times New Roman" w:cs="Times New Roman"/>
                <w:color w:val="000000"/>
              </w:rPr>
            </w:pPr>
            <w:r w:rsidRPr="00E83D39">
              <w:rPr>
                <w:rFonts w:ascii="Times New Roman" w:eastAsia="Calibri" w:hAnsi="Times New Roman" w:cs="Times New Roman"/>
                <w:color w:val="000000"/>
              </w:rPr>
              <w:t xml:space="preserve">We Francji kontrola jakości urządzeń medycznych, w tym radiologicznych określona jest w Kodeksie Zdrowia Publicznego, jako ogół działań zmierzających do oceny pracy danego urządzenia podejmowanych przez producenta, lub gdzie jest to wymagane, określonych przez uprawniony organ – Dyrektora Generalnego Narodowej Agencji ds. bezpieczeństwa leków i produktów medycznych (ANSM). Częstotliwość wykonywania testów, w zależności od typu wynosi od codziennie do co roku. Przewidziane są dwa typy kontroli jakości wewnętrzne oraz zewnętrzne. Kontrole wewnętrzne wykonywane przez użytkownika lub na jego odpowiedzialność przez usługobiorcę. Kontrole zewnętrzne realizowane przez jednostki wykonujące kontrolę jakości akredytowane przez Le </w:t>
            </w:r>
            <w:proofErr w:type="spellStart"/>
            <w:r w:rsidRPr="00E83D39">
              <w:rPr>
                <w:rFonts w:ascii="Times New Roman" w:eastAsia="Calibri" w:hAnsi="Times New Roman" w:cs="Times New Roman"/>
                <w:color w:val="000000"/>
              </w:rPr>
              <w:t>Comité</w:t>
            </w:r>
            <w:proofErr w:type="spellEnd"/>
            <w:r w:rsidRPr="00E83D39">
              <w:rPr>
                <w:rFonts w:ascii="Times New Roman" w:eastAsia="Calibri" w:hAnsi="Times New Roman" w:cs="Times New Roman"/>
                <w:color w:val="000000"/>
              </w:rPr>
              <w:t xml:space="preserve"> </w:t>
            </w:r>
            <w:proofErr w:type="spellStart"/>
            <w:r w:rsidRPr="00E83D39">
              <w:rPr>
                <w:rFonts w:ascii="Times New Roman" w:eastAsia="Calibri" w:hAnsi="Times New Roman" w:cs="Times New Roman"/>
                <w:color w:val="000000"/>
              </w:rPr>
              <w:t>français</w:t>
            </w:r>
            <w:proofErr w:type="spellEnd"/>
            <w:r w:rsidRPr="00E83D39">
              <w:rPr>
                <w:rFonts w:ascii="Times New Roman" w:eastAsia="Calibri" w:hAnsi="Times New Roman" w:cs="Times New Roman"/>
                <w:color w:val="000000"/>
              </w:rPr>
              <w:t xml:space="preserve"> </w:t>
            </w:r>
            <w:proofErr w:type="spellStart"/>
            <w:r w:rsidRPr="00E83D39">
              <w:rPr>
                <w:rFonts w:ascii="Times New Roman" w:eastAsia="Calibri" w:hAnsi="Times New Roman" w:cs="Times New Roman"/>
                <w:color w:val="000000"/>
              </w:rPr>
              <w:t>d’accréditation</w:t>
            </w:r>
            <w:proofErr w:type="spellEnd"/>
            <w:r w:rsidRPr="00E83D39">
              <w:rPr>
                <w:rFonts w:ascii="Times New Roman" w:eastAsia="Calibri" w:hAnsi="Times New Roman" w:cs="Times New Roman"/>
                <w:color w:val="000000"/>
              </w:rPr>
              <w:t xml:space="preserve"> (</w:t>
            </w:r>
            <w:proofErr w:type="spellStart"/>
            <w:r w:rsidRPr="00E83D39">
              <w:rPr>
                <w:rFonts w:ascii="Times New Roman" w:eastAsia="Calibri" w:hAnsi="Times New Roman" w:cs="Times New Roman"/>
                <w:color w:val="000000"/>
              </w:rPr>
              <w:t>Cofrac</w:t>
            </w:r>
            <w:proofErr w:type="spellEnd"/>
            <w:r w:rsidRPr="00E83D39">
              <w:rPr>
                <w:rFonts w:ascii="Times New Roman" w:eastAsia="Calibri" w:hAnsi="Times New Roman" w:cs="Times New Roman"/>
                <w:color w:val="000000"/>
              </w:rPr>
              <w:t>) i zatwierdzone przez ANSM.</w:t>
            </w:r>
          </w:p>
        </w:tc>
      </w:tr>
      <w:tr w:rsidR="00A803E7" w:rsidRPr="00DC6133" w14:paraId="2F23B9A1" w14:textId="77777777" w:rsidTr="00F555A5">
        <w:trPr>
          <w:gridAfter w:val="1"/>
          <w:wAfter w:w="10" w:type="dxa"/>
          <w:trHeight w:val="359"/>
          <w:jc w:val="center"/>
        </w:trPr>
        <w:tc>
          <w:tcPr>
            <w:tcW w:w="10937" w:type="dxa"/>
            <w:gridSpan w:val="29"/>
            <w:shd w:val="clear" w:color="auto" w:fill="99CCFF"/>
            <w:vAlign w:val="center"/>
          </w:tcPr>
          <w:p w14:paraId="0D23BD59" w14:textId="77777777" w:rsidR="00A803E7" w:rsidRPr="00DC6133" w:rsidRDefault="00A803E7" w:rsidP="00A803E7">
            <w:pPr>
              <w:numPr>
                <w:ilvl w:val="0"/>
                <w:numId w:val="1"/>
              </w:numPr>
              <w:spacing w:before="60" w:after="60" w:line="240" w:lineRule="auto"/>
              <w:ind w:left="318" w:hanging="284"/>
              <w:jc w:val="both"/>
              <w:rPr>
                <w:rFonts w:ascii="Times New Roman" w:eastAsia="Calibri" w:hAnsi="Times New Roman" w:cs="Times New Roman"/>
                <w:b/>
                <w:color w:val="000000"/>
              </w:rPr>
            </w:pPr>
            <w:r w:rsidRPr="00DC6133">
              <w:rPr>
                <w:rFonts w:ascii="Times New Roman" w:eastAsia="Calibri" w:hAnsi="Times New Roman" w:cs="Times New Roman"/>
                <w:b/>
                <w:color w:val="000000"/>
              </w:rPr>
              <w:lastRenderedPageBreak/>
              <w:t>Podmioty, na które oddziałuje projekt</w:t>
            </w:r>
          </w:p>
        </w:tc>
      </w:tr>
      <w:tr w:rsidR="00A803E7" w:rsidRPr="00DC6133" w14:paraId="0CC44B22" w14:textId="77777777" w:rsidTr="00F555A5">
        <w:trPr>
          <w:gridAfter w:val="1"/>
          <w:wAfter w:w="10" w:type="dxa"/>
          <w:trHeight w:val="142"/>
          <w:jc w:val="center"/>
        </w:trPr>
        <w:tc>
          <w:tcPr>
            <w:tcW w:w="2668" w:type="dxa"/>
            <w:gridSpan w:val="3"/>
            <w:shd w:val="clear" w:color="auto" w:fill="auto"/>
          </w:tcPr>
          <w:p w14:paraId="0895151B" w14:textId="77777777" w:rsidR="00A803E7" w:rsidRPr="00DC6133" w:rsidRDefault="00A803E7" w:rsidP="00A803E7">
            <w:pPr>
              <w:spacing w:before="60" w:after="60" w:line="240" w:lineRule="auto"/>
              <w:jc w:val="center"/>
              <w:rPr>
                <w:rFonts w:ascii="Times New Roman" w:eastAsia="Calibri" w:hAnsi="Times New Roman" w:cs="Times New Roman"/>
                <w:color w:val="000000"/>
              </w:rPr>
            </w:pPr>
            <w:r w:rsidRPr="00DC6133">
              <w:rPr>
                <w:rFonts w:ascii="Times New Roman" w:eastAsia="Calibri" w:hAnsi="Times New Roman" w:cs="Times New Roman"/>
                <w:color w:val="000000"/>
              </w:rPr>
              <w:t>Grupa</w:t>
            </w:r>
          </w:p>
        </w:tc>
        <w:tc>
          <w:tcPr>
            <w:tcW w:w="2292" w:type="dxa"/>
            <w:gridSpan w:val="8"/>
            <w:shd w:val="clear" w:color="auto" w:fill="auto"/>
          </w:tcPr>
          <w:p w14:paraId="5A576873" w14:textId="77777777" w:rsidR="00A803E7" w:rsidRPr="00DC6133" w:rsidRDefault="00A803E7" w:rsidP="00A803E7">
            <w:pPr>
              <w:spacing w:before="60" w:after="60" w:line="240" w:lineRule="auto"/>
              <w:jc w:val="center"/>
              <w:rPr>
                <w:rFonts w:ascii="Times New Roman" w:eastAsia="Calibri" w:hAnsi="Times New Roman" w:cs="Times New Roman"/>
                <w:color w:val="000000"/>
              </w:rPr>
            </w:pPr>
            <w:r w:rsidRPr="00DC6133">
              <w:rPr>
                <w:rFonts w:ascii="Times New Roman" w:eastAsia="Calibri" w:hAnsi="Times New Roman" w:cs="Times New Roman"/>
                <w:color w:val="000000"/>
              </w:rPr>
              <w:t>Wielkość</w:t>
            </w:r>
          </w:p>
        </w:tc>
        <w:tc>
          <w:tcPr>
            <w:tcW w:w="2996" w:type="dxa"/>
            <w:gridSpan w:val="12"/>
            <w:shd w:val="clear" w:color="auto" w:fill="auto"/>
          </w:tcPr>
          <w:p w14:paraId="664EF418" w14:textId="77777777" w:rsidR="00A803E7" w:rsidRPr="00DC6133" w:rsidRDefault="00A803E7" w:rsidP="00A803E7">
            <w:pPr>
              <w:spacing w:before="60" w:after="60" w:line="240" w:lineRule="auto"/>
              <w:jc w:val="center"/>
              <w:rPr>
                <w:rFonts w:ascii="Times New Roman" w:eastAsia="Calibri" w:hAnsi="Times New Roman" w:cs="Times New Roman"/>
                <w:color w:val="000000"/>
              </w:rPr>
            </w:pPr>
            <w:r w:rsidRPr="00DC6133">
              <w:rPr>
                <w:rFonts w:ascii="Times New Roman" w:eastAsia="Calibri" w:hAnsi="Times New Roman" w:cs="Times New Roman"/>
                <w:color w:val="000000"/>
              </w:rPr>
              <w:t>Źródło danych</w:t>
            </w:r>
            <w:r w:rsidRPr="00DC6133" w:rsidDel="00260F33">
              <w:rPr>
                <w:rFonts w:ascii="Times New Roman" w:eastAsia="Calibri" w:hAnsi="Times New Roman" w:cs="Times New Roman"/>
                <w:color w:val="000000"/>
              </w:rPr>
              <w:t xml:space="preserve"> </w:t>
            </w:r>
          </w:p>
        </w:tc>
        <w:tc>
          <w:tcPr>
            <w:tcW w:w="2981" w:type="dxa"/>
            <w:gridSpan w:val="6"/>
            <w:shd w:val="clear" w:color="auto" w:fill="auto"/>
          </w:tcPr>
          <w:p w14:paraId="7DF72145" w14:textId="77777777" w:rsidR="00A803E7" w:rsidRPr="00DC6133" w:rsidRDefault="00A803E7" w:rsidP="00A803E7">
            <w:pPr>
              <w:spacing w:before="60" w:after="60" w:line="240" w:lineRule="auto"/>
              <w:jc w:val="center"/>
              <w:rPr>
                <w:rFonts w:ascii="Times New Roman" w:eastAsia="Calibri" w:hAnsi="Times New Roman" w:cs="Times New Roman"/>
                <w:color w:val="000000"/>
              </w:rPr>
            </w:pPr>
            <w:r w:rsidRPr="00DC6133">
              <w:rPr>
                <w:rFonts w:ascii="Times New Roman" w:eastAsia="Calibri" w:hAnsi="Times New Roman" w:cs="Times New Roman"/>
                <w:color w:val="000000"/>
              </w:rPr>
              <w:t>Oddziaływanie</w:t>
            </w:r>
          </w:p>
        </w:tc>
      </w:tr>
      <w:tr w:rsidR="00A803E7" w:rsidRPr="00DC6133" w14:paraId="2ECE798A" w14:textId="77777777" w:rsidTr="00F555A5">
        <w:trPr>
          <w:gridAfter w:val="1"/>
          <w:wAfter w:w="10" w:type="dxa"/>
          <w:trHeight w:val="142"/>
          <w:jc w:val="center"/>
        </w:trPr>
        <w:tc>
          <w:tcPr>
            <w:tcW w:w="2668" w:type="dxa"/>
            <w:gridSpan w:val="3"/>
            <w:shd w:val="clear" w:color="auto" w:fill="auto"/>
          </w:tcPr>
          <w:p w14:paraId="6182FC97" w14:textId="2EAA118C" w:rsidR="00A803E7" w:rsidRPr="00DC6133" w:rsidRDefault="003F05FF" w:rsidP="00A803E7">
            <w:pPr>
              <w:spacing w:before="60" w:after="60" w:line="240" w:lineRule="auto"/>
              <w:rPr>
                <w:rFonts w:ascii="Times New Roman" w:eastAsia="Calibri" w:hAnsi="Times New Roman" w:cs="Times New Roman"/>
                <w:color w:val="000000"/>
              </w:rPr>
            </w:pPr>
            <w:r w:rsidRPr="003F05FF">
              <w:rPr>
                <w:rFonts w:ascii="Times New Roman" w:eastAsia="Calibri" w:hAnsi="Times New Roman" w:cs="Times New Roman"/>
                <w:color w:val="000000"/>
              </w:rPr>
              <w:t>Jednostki ochrony zdrowia stosujące urządzenia</w:t>
            </w:r>
            <w:r w:rsidR="00A57CFF">
              <w:rPr>
                <w:rFonts w:ascii="Times New Roman" w:eastAsia="Calibri" w:hAnsi="Times New Roman" w:cs="Times New Roman"/>
                <w:color w:val="000000"/>
              </w:rPr>
              <w:t xml:space="preserve"> radiologiczne i urządzenia pomocnicze</w:t>
            </w:r>
            <w:r w:rsidRPr="003F05FF">
              <w:rPr>
                <w:rFonts w:ascii="Times New Roman" w:eastAsia="Calibri" w:hAnsi="Times New Roman" w:cs="Times New Roman"/>
                <w:color w:val="000000"/>
              </w:rPr>
              <w:t xml:space="preserve"> podlegające kontroli z zakresu parametrów fizycznych</w:t>
            </w:r>
          </w:p>
        </w:tc>
        <w:tc>
          <w:tcPr>
            <w:tcW w:w="2292" w:type="dxa"/>
            <w:gridSpan w:val="8"/>
            <w:shd w:val="clear" w:color="auto" w:fill="auto"/>
          </w:tcPr>
          <w:p w14:paraId="79211142" w14:textId="72F26C51" w:rsidR="00A803E7" w:rsidRPr="00DC6133" w:rsidRDefault="00EB7FA9" w:rsidP="00A803E7">
            <w:pPr>
              <w:spacing w:before="60" w:after="60" w:line="240" w:lineRule="auto"/>
              <w:rPr>
                <w:rFonts w:ascii="Times New Roman" w:eastAsia="Calibri" w:hAnsi="Times New Roman" w:cs="Times New Roman"/>
                <w:color w:val="000000"/>
              </w:rPr>
            </w:pPr>
            <w:r>
              <w:rPr>
                <w:rFonts w:ascii="Times New Roman" w:eastAsia="Calibri" w:hAnsi="Times New Roman" w:cs="Times New Roman"/>
                <w:color w:val="000000"/>
              </w:rPr>
              <w:t>ok</w:t>
            </w:r>
            <w:r w:rsidR="00A803E7" w:rsidRPr="00DC6133">
              <w:rPr>
                <w:rFonts w:ascii="Times New Roman" w:eastAsia="Calibri" w:hAnsi="Times New Roman" w:cs="Times New Roman"/>
                <w:color w:val="000000"/>
              </w:rPr>
              <w:t xml:space="preserve">. </w:t>
            </w:r>
            <w:r w:rsidR="003F05FF">
              <w:rPr>
                <w:rFonts w:ascii="Times New Roman" w:eastAsia="Calibri" w:hAnsi="Times New Roman" w:cs="Times New Roman"/>
                <w:color w:val="000000"/>
              </w:rPr>
              <w:t xml:space="preserve">2,5 </w:t>
            </w:r>
            <w:r w:rsidR="00A803E7" w:rsidRPr="00DC6133">
              <w:rPr>
                <w:rFonts w:ascii="Times New Roman" w:eastAsia="Calibri" w:hAnsi="Times New Roman" w:cs="Times New Roman"/>
                <w:color w:val="000000"/>
              </w:rPr>
              <w:t xml:space="preserve">tys. </w:t>
            </w:r>
          </w:p>
        </w:tc>
        <w:tc>
          <w:tcPr>
            <w:tcW w:w="2996" w:type="dxa"/>
            <w:gridSpan w:val="12"/>
            <w:shd w:val="clear" w:color="auto" w:fill="auto"/>
          </w:tcPr>
          <w:p w14:paraId="049FFA1B" w14:textId="7D38D15C" w:rsidR="00A803E7" w:rsidRPr="00DC6133" w:rsidRDefault="00A803E7" w:rsidP="00A803E7">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t xml:space="preserve">Dane </w:t>
            </w:r>
            <w:r w:rsidR="003F05FF">
              <w:rPr>
                <w:rFonts w:ascii="Times New Roman" w:eastAsia="Calibri" w:hAnsi="Times New Roman" w:cs="Times New Roman"/>
                <w:color w:val="000000"/>
              </w:rPr>
              <w:t xml:space="preserve">Krajowego Centrum Ochrony Radiologicznej w Ochronie Zdrowia </w:t>
            </w:r>
          </w:p>
        </w:tc>
        <w:tc>
          <w:tcPr>
            <w:tcW w:w="2981" w:type="dxa"/>
            <w:gridSpan w:val="6"/>
            <w:shd w:val="clear" w:color="auto" w:fill="auto"/>
          </w:tcPr>
          <w:p w14:paraId="084A8B4B" w14:textId="105E7521" w:rsidR="00A803E7" w:rsidRPr="00DC6133" w:rsidRDefault="003F05FF" w:rsidP="00A803E7">
            <w:pPr>
              <w:spacing w:before="60" w:after="60" w:line="240" w:lineRule="auto"/>
              <w:rPr>
                <w:rFonts w:ascii="Times New Roman" w:eastAsia="Calibri" w:hAnsi="Times New Roman" w:cs="Times New Roman"/>
                <w:color w:val="000000"/>
              </w:rPr>
            </w:pPr>
            <w:r w:rsidRPr="003F05FF">
              <w:rPr>
                <w:rFonts w:ascii="Times New Roman" w:eastAsia="Calibri" w:hAnsi="Times New Roman" w:cs="Times New Roman"/>
                <w:color w:val="000000"/>
              </w:rPr>
              <w:t>Konieczność zapewnienia wykonania obligatoryjnych testów urządzeń radiologicznych (przez podmioty akredytowane oraz pracowników tych jednostek) z uwzględnieniem nowego wykazu testów wynikającego z projektowanego rozporządzenia</w:t>
            </w:r>
            <w:r w:rsidR="00024165">
              <w:rPr>
                <w:rFonts w:ascii="Times New Roman" w:eastAsia="Calibri" w:hAnsi="Times New Roman" w:cs="Times New Roman"/>
                <w:color w:val="000000"/>
              </w:rPr>
              <w:t>.</w:t>
            </w:r>
          </w:p>
        </w:tc>
      </w:tr>
      <w:tr w:rsidR="003F05FF" w:rsidRPr="00DC6133" w14:paraId="41977C2B" w14:textId="77777777" w:rsidTr="00F555A5">
        <w:trPr>
          <w:gridAfter w:val="1"/>
          <w:wAfter w:w="10" w:type="dxa"/>
          <w:trHeight w:val="142"/>
          <w:jc w:val="center"/>
        </w:trPr>
        <w:tc>
          <w:tcPr>
            <w:tcW w:w="2668" w:type="dxa"/>
            <w:gridSpan w:val="3"/>
            <w:shd w:val="clear" w:color="auto" w:fill="auto"/>
          </w:tcPr>
          <w:p w14:paraId="42196CF0" w14:textId="67AD4F30" w:rsidR="003F05FF" w:rsidRPr="00A57CFF" w:rsidRDefault="003F05FF" w:rsidP="003F05FF">
            <w:pPr>
              <w:spacing w:before="60" w:after="60" w:line="240" w:lineRule="auto"/>
              <w:rPr>
                <w:rFonts w:ascii="Times New Roman" w:eastAsia="Calibri" w:hAnsi="Times New Roman" w:cs="Times New Roman"/>
                <w:color w:val="000000"/>
              </w:rPr>
            </w:pPr>
            <w:r w:rsidRPr="00A57CFF">
              <w:rPr>
                <w:rFonts w:ascii="Times New Roman" w:hAnsi="Times New Roman" w:cs="Times New Roman"/>
              </w:rPr>
              <w:t xml:space="preserve">Podmioty posiadające akredytację Polskiego Centrum Akredytacji na wykonywanie testów urządzeń radiologicznych we wszystkich dziedzinach związanych ze stosowaniem promieniowania jonizującego (radiologia – diagnostyka obrazowa i </w:t>
            </w:r>
            <w:r w:rsidRPr="00A57CFF">
              <w:rPr>
                <w:rFonts w:ascii="Times New Roman" w:hAnsi="Times New Roman" w:cs="Times New Roman"/>
              </w:rPr>
              <w:lastRenderedPageBreak/>
              <w:t>radiologia zabiegowa, medycyna nuklearna, radioterapia onkologiczna)</w:t>
            </w:r>
          </w:p>
        </w:tc>
        <w:tc>
          <w:tcPr>
            <w:tcW w:w="2292" w:type="dxa"/>
            <w:gridSpan w:val="8"/>
            <w:shd w:val="clear" w:color="auto" w:fill="auto"/>
          </w:tcPr>
          <w:p w14:paraId="3B642D7C" w14:textId="6525DF8F" w:rsidR="002D064B" w:rsidRPr="00A57CFF" w:rsidRDefault="002D064B" w:rsidP="002D064B">
            <w:pPr>
              <w:spacing w:before="60" w:after="60" w:line="240" w:lineRule="auto"/>
              <w:rPr>
                <w:rFonts w:ascii="Times New Roman" w:hAnsi="Times New Roman" w:cs="Times New Roman"/>
              </w:rPr>
            </w:pPr>
            <w:r w:rsidRPr="00A57CFF">
              <w:rPr>
                <w:rFonts w:ascii="Times New Roman" w:hAnsi="Times New Roman" w:cs="Times New Roman"/>
              </w:rPr>
              <w:lastRenderedPageBreak/>
              <w:t>41 podmiotów akredytowanych w zakresie radiologii-diagnostyki obrazowej i radiologii zabiegowej</w:t>
            </w:r>
            <w:r w:rsidR="00A57CFF" w:rsidRPr="00A57CFF">
              <w:rPr>
                <w:rFonts w:ascii="Times New Roman" w:hAnsi="Times New Roman" w:cs="Times New Roman"/>
              </w:rPr>
              <w:t>;</w:t>
            </w:r>
          </w:p>
          <w:p w14:paraId="489D6ED8" w14:textId="77777777" w:rsidR="002D064B" w:rsidRPr="00A57CFF" w:rsidRDefault="002D064B" w:rsidP="002D064B">
            <w:pPr>
              <w:spacing w:before="60" w:after="60" w:line="240" w:lineRule="auto"/>
              <w:rPr>
                <w:rFonts w:ascii="Times New Roman" w:hAnsi="Times New Roman" w:cs="Times New Roman"/>
              </w:rPr>
            </w:pPr>
            <w:r w:rsidRPr="00A57CFF">
              <w:rPr>
                <w:rFonts w:ascii="Times New Roman" w:hAnsi="Times New Roman" w:cs="Times New Roman"/>
              </w:rPr>
              <w:t xml:space="preserve">2 podmioty akredytowane w zakresie medycyny nuklearnej, </w:t>
            </w:r>
          </w:p>
          <w:p w14:paraId="5AB23CB1" w14:textId="77777777" w:rsidR="002D064B" w:rsidRPr="00A57CFF" w:rsidRDefault="002D064B" w:rsidP="002D064B">
            <w:pPr>
              <w:spacing w:before="60" w:after="60" w:line="240" w:lineRule="auto"/>
              <w:rPr>
                <w:rFonts w:ascii="Times New Roman" w:hAnsi="Times New Roman" w:cs="Times New Roman"/>
              </w:rPr>
            </w:pPr>
          </w:p>
          <w:p w14:paraId="647509CD" w14:textId="3BDB4E46" w:rsidR="003F05FF" w:rsidRPr="00A57CFF" w:rsidRDefault="003F05FF" w:rsidP="002D064B">
            <w:pPr>
              <w:spacing w:before="60" w:after="60" w:line="240" w:lineRule="auto"/>
              <w:rPr>
                <w:rFonts w:ascii="Times New Roman" w:eastAsia="Calibri" w:hAnsi="Times New Roman" w:cs="Times New Roman"/>
                <w:color w:val="000000"/>
              </w:rPr>
            </w:pPr>
          </w:p>
        </w:tc>
        <w:tc>
          <w:tcPr>
            <w:tcW w:w="2996" w:type="dxa"/>
            <w:gridSpan w:val="12"/>
            <w:shd w:val="clear" w:color="auto" w:fill="auto"/>
          </w:tcPr>
          <w:p w14:paraId="7905FCC6" w14:textId="15FCA195" w:rsidR="003F05FF" w:rsidRPr="00A57CFF" w:rsidRDefault="002D064B" w:rsidP="003F05FF">
            <w:pPr>
              <w:spacing w:before="60" w:after="60" w:line="240" w:lineRule="auto"/>
              <w:rPr>
                <w:rFonts w:ascii="Times New Roman" w:eastAsia="Calibri" w:hAnsi="Times New Roman" w:cs="Times New Roman"/>
                <w:color w:val="000000"/>
              </w:rPr>
            </w:pPr>
            <w:r w:rsidRPr="00A57CFF">
              <w:rPr>
                <w:rFonts w:ascii="Times New Roman" w:eastAsia="Calibri" w:hAnsi="Times New Roman" w:cs="Times New Roman"/>
                <w:color w:val="000000"/>
              </w:rPr>
              <w:lastRenderedPageBreak/>
              <w:t>Strona internetowa Polskiego Centrum Akredytacji</w:t>
            </w:r>
            <w:r w:rsidR="00A57CFF" w:rsidRPr="00A57CFF">
              <w:rPr>
                <w:rFonts w:ascii="Times New Roman" w:eastAsia="Calibri" w:hAnsi="Times New Roman" w:cs="Times New Roman"/>
                <w:color w:val="000000"/>
              </w:rPr>
              <w:t xml:space="preserve">; dane Krajowego Centrum Ochrony Radiologicznej w Ochronie Zdrowia </w:t>
            </w:r>
          </w:p>
        </w:tc>
        <w:tc>
          <w:tcPr>
            <w:tcW w:w="2981" w:type="dxa"/>
            <w:gridSpan w:val="6"/>
            <w:shd w:val="clear" w:color="auto" w:fill="auto"/>
          </w:tcPr>
          <w:p w14:paraId="75BF2912" w14:textId="12C01C0D" w:rsidR="003F05FF" w:rsidRPr="00A57CFF" w:rsidRDefault="002D064B" w:rsidP="003F05FF">
            <w:pPr>
              <w:spacing w:before="60" w:after="60" w:line="240" w:lineRule="auto"/>
              <w:rPr>
                <w:rFonts w:ascii="Times New Roman" w:eastAsia="Calibri" w:hAnsi="Times New Roman" w:cs="Times New Roman"/>
                <w:color w:val="000000"/>
              </w:rPr>
            </w:pPr>
            <w:r w:rsidRPr="00A57CFF">
              <w:rPr>
                <w:rFonts w:ascii="Times New Roman" w:hAnsi="Times New Roman" w:cs="Times New Roman"/>
              </w:rPr>
              <w:t>Konieczność dostosowania procedur pomiarowych stosowanych w jednostkach akredytowanych do wykazu i zakresu testów określonych w nowym rozporządzeniu</w:t>
            </w:r>
            <w:r w:rsidR="00024165">
              <w:rPr>
                <w:rFonts w:ascii="Times New Roman" w:hAnsi="Times New Roman" w:cs="Times New Roman"/>
              </w:rPr>
              <w:t>.</w:t>
            </w:r>
          </w:p>
        </w:tc>
      </w:tr>
      <w:tr w:rsidR="003F05FF" w:rsidRPr="00DC6133" w14:paraId="0E121F19" w14:textId="77777777" w:rsidTr="00F555A5">
        <w:trPr>
          <w:gridAfter w:val="1"/>
          <w:wAfter w:w="10" w:type="dxa"/>
          <w:trHeight w:val="142"/>
          <w:jc w:val="center"/>
        </w:trPr>
        <w:tc>
          <w:tcPr>
            <w:tcW w:w="2668" w:type="dxa"/>
            <w:gridSpan w:val="3"/>
            <w:shd w:val="clear" w:color="auto" w:fill="auto"/>
          </w:tcPr>
          <w:p w14:paraId="62D10982" w14:textId="35023CA6" w:rsidR="003F05FF" w:rsidRPr="00A57CFF" w:rsidRDefault="003F05FF" w:rsidP="003F05FF">
            <w:pPr>
              <w:spacing w:before="60" w:after="60" w:line="240" w:lineRule="auto"/>
              <w:rPr>
                <w:rFonts w:ascii="Times New Roman" w:hAnsi="Times New Roman" w:cs="Times New Roman"/>
              </w:rPr>
            </w:pPr>
            <w:r w:rsidRPr="00A57CFF">
              <w:rPr>
                <w:rFonts w:ascii="Times New Roman" w:hAnsi="Times New Roman" w:cs="Times New Roman"/>
              </w:rPr>
              <w:t>Organy Państwowej Inspekcji Sanitarnej (państwowi wojewódzcy inspektorzy sanitarni)</w:t>
            </w:r>
          </w:p>
        </w:tc>
        <w:tc>
          <w:tcPr>
            <w:tcW w:w="2292" w:type="dxa"/>
            <w:gridSpan w:val="8"/>
            <w:shd w:val="clear" w:color="auto" w:fill="auto"/>
          </w:tcPr>
          <w:p w14:paraId="0866A948" w14:textId="31DD895E" w:rsidR="003F05FF" w:rsidRPr="00A57CFF" w:rsidRDefault="003F05FF" w:rsidP="003F05FF">
            <w:pPr>
              <w:spacing w:before="60" w:after="60" w:line="240" w:lineRule="auto"/>
              <w:rPr>
                <w:rFonts w:ascii="Times New Roman" w:hAnsi="Times New Roman" w:cs="Times New Roman"/>
              </w:rPr>
            </w:pPr>
            <w:r w:rsidRPr="00A57CFF">
              <w:rPr>
                <w:rFonts w:ascii="Times New Roman" w:hAnsi="Times New Roman" w:cs="Times New Roman"/>
              </w:rPr>
              <w:t>16 państwowych wojewódzkich inspektorów sanitarnych</w:t>
            </w:r>
          </w:p>
        </w:tc>
        <w:tc>
          <w:tcPr>
            <w:tcW w:w="2996" w:type="dxa"/>
            <w:gridSpan w:val="12"/>
            <w:shd w:val="clear" w:color="auto" w:fill="auto"/>
          </w:tcPr>
          <w:p w14:paraId="6578D598" w14:textId="1AEBA58E" w:rsidR="003F05FF" w:rsidRPr="00A57CFF" w:rsidRDefault="003F05FF" w:rsidP="003F05FF">
            <w:pPr>
              <w:spacing w:before="60" w:after="60" w:line="240" w:lineRule="auto"/>
              <w:rPr>
                <w:rFonts w:ascii="Times New Roman" w:eastAsia="Calibri" w:hAnsi="Times New Roman" w:cs="Times New Roman"/>
                <w:color w:val="000000"/>
              </w:rPr>
            </w:pPr>
            <w:r w:rsidRPr="00A57CFF">
              <w:rPr>
                <w:rFonts w:ascii="Times New Roman" w:hAnsi="Times New Roman" w:cs="Times New Roman"/>
              </w:rPr>
              <w:t>Przepisy prawne</w:t>
            </w:r>
          </w:p>
        </w:tc>
        <w:tc>
          <w:tcPr>
            <w:tcW w:w="2981" w:type="dxa"/>
            <w:gridSpan w:val="6"/>
            <w:shd w:val="clear" w:color="auto" w:fill="auto"/>
          </w:tcPr>
          <w:p w14:paraId="67A70906" w14:textId="5D3AFA39" w:rsidR="003F05FF" w:rsidRPr="00A57CFF" w:rsidRDefault="003F05FF" w:rsidP="003F05FF">
            <w:pPr>
              <w:spacing w:before="60" w:after="60" w:line="240" w:lineRule="auto"/>
              <w:rPr>
                <w:rFonts w:ascii="Times New Roman" w:hAnsi="Times New Roman" w:cs="Times New Roman"/>
              </w:rPr>
            </w:pPr>
            <w:r w:rsidRPr="00A57CFF">
              <w:rPr>
                <w:rFonts w:ascii="Times New Roman" w:hAnsi="Times New Roman" w:cs="Times New Roman"/>
              </w:rPr>
              <w:t>Konieczność uwzględnienia zmian w wykazie testów objętych projektowanym rozporządzeniem w wykonywanym przez te organy nadzorze w zakresie ochrony radiologicznej pacjenta.</w:t>
            </w:r>
          </w:p>
        </w:tc>
      </w:tr>
      <w:tr w:rsidR="003F05FF" w:rsidRPr="00DC6133" w14:paraId="6A030E57" w14:textId="77777777" w:rsidTr="00F555A5">
        <w:trPr>
          <w:gridAfter w:val="1"/>
          <w:wAfter w:w="10" w:type="dxa"/>
          <w:trHeight w:val="142"/>
          <w:jc w:val="center"/>
        </w:trPr>
        <w:tc>
          <w:tcPr>
            <w:tcW w:w="2668" w:type="dxa"/>
            <w:gridSpan w:val="3"/>
            <w:shd w:val="clear" w:color="auto" w:fill="auto"/>
          </w:tcPr>
          <w:p w14:paraId="68A3A522" w14:textId="02C9AB6D" w:rsidR="003F05FF" w:rsidRPr="00A57CFF" w:rsidRDefault="003F05FF" w:rsidP="003F05FF">
            <w:pPr>
              <w:spacing w:before="60" w:after="60" w:line="240" w:lineRule="auto"/>
              <w:rPr>
                <w:rFonts w:ascii="Times New Roman" w:hAnsi="Times New Roman" w:cs="Times New Roman"/>
              </w:rPr>
            </w:pPr>
            <w:r w:rsidRPr="00A57CFF">
              <w:rPr>
                <w:rFonts w:ascii="Times New Roman" w:hAnsi="Times New Roman" w:cs="Times New Roman"/>
              </w:rPr>
              <w:t>Polskie Centrum Akredytacji</w:t>
            </w:r>
          </w:p>
        </w:tc>
        <w:tc>
          <w:tcPr>
            <w:tcW w:w="2292" w:type="dxa"/>
            <w:gridSpan w:val="8"/>
            <w:shd w:val="clear" w:color="auto" w:fill="auto"/>
          </w:tcPr>
          <w:p w14:paraId="6902F300" w14:textId="0DC2174B" w:rsidR="003F05FF" w:rsidRPr="00A57CFF" w:rsidRDefault="003F05FF" w:rsidP="003F05FF">
            <w:pPr>
              <w:spacing w:before="60" w:after="60" w:line="240" w:lineRule="auto"/>
              <w:rPr>
                <w:rFonts w:ascii="Times New Roman" w:hAnsi="Times New Roman" w:cs="Times New Roman"/>
              </w:rPr>
            </w:pPr>
            <w:r w:rsidRPr="00A57CFF">
              <w:rPr>
                <w:rFonts w:ascii="Times New Roman" w:hAnsi="Times New Roman" w:cs="Times New Roman"/>
              </w:rPr>
              <w:t>1</w:t>
            </w:r>
          </w:p>
        </w:tc>
        <w:tc>
          <w:tcPr>
            <w:tcW w:w="2996" w:type="dxa"/>
            <w:gridSpan w:val="12"/>
            <w:shd w:val="clear" w:color="auto" w:fill="auto"/>
          </w:tcPr>
          <w:p w14:paraId="31312530" w14:textId="6A044F8B" w:rsidR="003F05FF" w:rsidRPr="00A57CFF" w:rsidRDefault="003F05FF" w:rsidP="003F05FF">
            <w:pPr>
              <w:spacing w:before="60" w:after="60" w:line="240" w:lineRule="auto"/>
              <w:rPr>
                <w:rFonts w:ascii="Times New Roman" w:hAnsi="Times New Roman" w:cs="Times New Roman"/>
              </w:rPr>
            </w:pPr>
            <w:r w:rsidRPr="00A57CFF">
              <w:rPr>
                <w:rFonts w:ascii="Times New Roman" w:hAnsi="Times New Roman" w:cs="Times New Roman"/>
              </w:rPr>
              <w:t>Przepisy prawne</w:t>
            </w:r>
          </w:p>
        </w:tc>
        <w:tc>
          <w:tcPr>
            <w:tcW w:w="2981" w:type="dxa"/>
            <w:gridSpan w:val="6"/>
            <w:shd w:val="clear" w:color="auto" w:fill="auto"/>
          </w:tcPr>
          <w:p w14:paraId="456C6247" w14:textId="426C7A49" w:rsidR="003F05FF" w:rsidRPr="00A57CFF" w:rsidRDefault="003F05FF" w:rsidP="003F05FF">
            <w:pPr>
              <w:spacing w:before="60" w:after="60" w:line="240" w:lineRule="auto"/>
              <w:rPr>
                <w:rFonts w:ascii="Times New Roman" w:hAnsi="Times New Roman" w:cs="Times New Roman"/>
              </w:rPr>
            </w:pPr>
            <w:r w:rsidRPr="00A57CFF">
              <w:rPr>
                <w:rFonts w:ascii="Times New Roman" w:hAnsi="Times New Roman" w:cs="Times New Roman"/>
              </w:rPr>
              <w:t>Uwzględnienie nowego wykazu i zakresu testów urządzeń radiologicznych w procedurze akredytacyjnej stosowanej wobec jednostek ubiegających się o akredytację.</w:t>
            </w:r>
          </w:p>
        </w:tc>
      </w:tr>
      <w:tr w:rsidR="00A803E7" w:rsidRPr="00DC6133" w14:paraId="286E9F29" w14:textId="77777777" w:rsidTr="00F555A5">
        <w:trPr>
          <w:gridAfter w:val="1"/>
          <w:wAfter w:w="10" w:type="dxa"/>
          <w:trHeight w:val="302"/>
          <w:jc w:val="center"/>
        </w:trPr>
        <w:tc>
          <w:tcPr>
            <w:tcW w:w="10937" w:type="dxa"/>
            <w:gridSpan w:val="29"/>
            <w:shd w:val="clear" w:color="auto" w:fill="99CCFF"/>
            <w:vAlign w:val="center"/>
          </w:tcPr>
          <w:p w14:paraId="6B83555C" w14:textId="77777777" w:rsidR="00A803E7" w:rsidRPr="00DC6133" w:rsidRDefault="00A803E7" w:rsidP="00A803E7">
            <w:pPr>
              <w:numPr>
                <w:ilvl w:val="0"/>
                <w:numId w:val="1"/>
              </w:numPr>
              <w:spacing w:before="60" w:after="60" w:line="240" w:lineRule="auto"/>
              <w:ind w:left="318" w:hanging="284"/>
              <w:jc w:val="both"/>
              <w:rPr>
                <w:rFonts w:ascii="Times New Roman" w:eastAsia="Calibri" w:hAnsi="Times New Roman" w:cs="Times New Roman"/>
                <w:b/>
                <w:color w:val="000000"/>
              </w:rPr>
            </w:pPr>
            <w:r w:rsidRPr="00DC6133">
              <w:rPr>
                <w:rFonts w:ascii="Times New Roman" w:eastAsia="Calibri" w:hAnsi="Times New Roman" w:cs="Times New Roman"/>
                <w:b/>
                <w:color w:val="000000"/>
              </w:rPr>
              <w:t>Informacje na temat zakresu, czasu trwania i podsumowanie wyników konsultacji</w:t>
            </w:r>
          </w:p>
        </w:tc>
      </w:tr>
      <w:tr w:rsidR="00871FB3" w:rsidRPr="00DC6133" w14:paraId="4E011AF8" w14:textId="77777777" w:rsidTr="00F555A5">
        <w:trPr>
          <w:gridAfter w:val="1"/>
          <w:wAfter w:w="10" w:type="dxa"/>
          <w:trHeight w:val="342"/>
          <w:jc w:val="center"/>
        </w:trPr>
        <w:tc>
          <w:tcPr>
            <w:tcW w:w="10937" w:type="dxa"/>
            <w:gridSpan w:val="29"/>
            <w:shd w:val="clear" w:color="auto" w:fill="FFFFFF"/>
          </w:tcPr>
          <w:p w14:paraId="365C7D22" w14:textId="77777777" w:rsidR="00871FB3" w:rsidRDefault="00871FB3" w:rsidP="00871FB3">
            <w:pPr>
              <w:spacing w:after="0" w:line="240" w:lineRule="auto"/>
              <w:jc w:val="both"/>
              <w:rPr>
                <w:rFonts w:ascii="Times New Roman" w:eastAsia="Times New Roman" w:hAnsi="Times New Roman" w:cs="Times New Roman"/>
                <w:color w:val="000000"/>
                <w:spacing w:val="-2"/>
                <w:lang w:eastAsia="pl-PL"/>
              </w:rPr>
            </w:pPr>
            <w:r w:rsidRPr="00A477DB">
              <w:rPr>
                <w:rFonts w:ascii="Times New Roman" w:eastAsia="Times New Roman" w:hAnsi="Times New Roman" w:cs="Times New Roman"/>
                <w:color w:val="000000"/>
                <w:spacing w:val="-2"/>
                <w:lang w:eastAsia="pl-PL"/>
              </w:rPr>
              <w:t xml:space="preserve">Projekt rozporządzenia nie był przedmiotem </w:t>
            </w:r>
            <w:proofErr w:type="spellStart"/>
            <w:r w:rsidRPr="00A477DB">
              <w:rPr>
                <w:rFonts w:ascii="Times New Roman" w:eastAsia="Times New Roman" w:hAnsi="Times New Roman" w:cs="Times New Roman"/>
                <w:color w:val="000000"/>
                <w:spacing w:val="-2"/>
                <w:lang w:eastAsia="pl-PL"/>
              </w:rPr>
              <w:t>pre</w:t>
            </w:r>
            <w:proofErr w:type="spellEnd"/>
            <w:r w:rsidRPr="00A477DB">
              <w:rPr>
                <w:rFonts w:ascii="Times New Roman" w:eastAsia="Times New Roman" w:hAnsi="Times New Roman" w:cs="Times New Roman"/>
                <w:color w:val="000000"/>
                <w:spacing w:val="-2"/>
                <w:lang w:eastAsia="pl-PL"/>
              </w:rPr>
              <w:t>-konsultacji publicznych.</w:t>
            </w:r>
          </w:p>
          <w:p w14:paraId="15395DBE" w14:textId="32E62FA6" w:rsidR="00871FB3" w:rsidRPr="00394091" w:rsidRDefault="00871FB3" w:rsidP="00871FB3">
            <w:pPr>
              <w:spacing w:after="0" w:line="240" w:lineRule="auto"/>
              <w:jc w:val="both"/>
              <w:rPr>
                <w:rFonts w:ascii="Times New Roman" w:eastAsia="Times New Roman" w:hAnsi="Times New Roman" w:cs="Times New Roman"/>
                <w:color w:val="000000"/>
                <w:spacing w:val="-2"/>
                <w:lang w:eastAsia="pl-PL"/>
              </w:rPr>
            </w:pPr>
            <w:r w:rsidRPr="00394091">
              <w:rPr>
                <w:rFonts w:ascii="Times New Roman" w:eastAsia="Times New Roman" w:hAnsi="Times New Roman" w:cs="Times New Roman"/>
                <w:color w:val="000000"/>
                <w:spacing w:val="-2"/>
                <w:lang w:eastAsia="pl-PL"/>
              </w:rPr>
              <w:t>Projekt rozporządzenia zosta</w:t>
            </w:r>
            <w:r w:rsidR="00024165">
              <w:rPr>
                <w:rFonts w:ascii="Times New Roman" w:eastAsia="Times New Roman" w:hAnsi="Times New Roman" w:cs="Times New Roman"/>
                <w:color w:val="000000"/>
                <w:spacing w:val="-2"/>
                <w:lang w:eastAsia="pl-PL"/>
              </w:rPr>
              <w:t>nie</w:t>
            </w:r>
            <w:r w:rsidRPr="00394091">
              <w:rPr>
                <w:rFonts w:ascii="Times New Roman" w:eastAsia="Times New Roman" w:hAnsi="Times New Roman" w:cs="Times New Roman"/>
                <w:color w:val="000000"/>
                <w:spacing w:val="-2"/>
                <w:lang w:eastAsia="pl-PL"/>
              </w:rPr>
              <w:t xml:space="preserve"> przekazany na </w:t>
            </w:r>
            <w:r w:rsidR="00872C21">
              <w:rPr>
                <w:rFonts w:ascii="Times New Roman" w:eastAsia="Times New Roman" w:hAnsi="Times New Roman" w:cs="Times New Roman"/>
                <w:color w:val="000000"/>
                <w:spacing w:val="-2"/>
                <w:lang w:eastAsia="pl-PL"/>
              </w:rPr>
              <w:t>21</w:t>
            </w:r>
            <w:r w:rsidRPr="00394091">
              <w:rPr>
                <w:rFonts w:ascii="Times New Roman" w:eastAsia="Times New Roman" w:hAnsi="Times New Roman" w:cs="Times New Roman"/>
                <w:color w:val="000000"/>
                <w:spacing w:val="-2"/>
                <w:lang w:eastAsia="pl-PL"/>
              </w:rPr>
              <w:t xml:space="preserve"> dni do konsultacji publicznych i opiniowania do</w:t>
            </w:r>
            <w:r>
              <w:rPr>
                <w:rFonts w:ascii="Times New Roman" w:eastAsia="Times New Roman" w:hAnsi="Times New Roman" w:cs="Times New Roman"/>
                <w:color w:val="000000"/>
                <w:spacing w:val="-2"/>
                <w:lang w:eastAsia="pl-PL"/>
              </w:rPr>
              <w:t> </w:t>
            </w:r>
            <w:r w:rsidRPr="00394091">
              <w:rPr>
                <w:rFonts w:ascii="Times New Roman" w:eastAsia="Times New Roman" w:hAnsi="Times New Roman" w:cs="Times New Roman"/>
                <w:color w:val="000000"/>
                <w:spacing w:val="-2"/>
                <w:lang w:eastAsia="pl-PL"/>
              </w:rPr>
              <w:t>następujących podmiotów:</w:t>
            </w:r>
          </w:p>
          <w:p w14:paraId="54CDF413" w14:textId="1EDFD85B"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Centralnego Instytutu Ochrony Pracy – Państwowego Instytutu Badawczego;</w:t>
            </w:r>
          </w:p>
          <w:p w14:paraId="7C1963A0"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Federacji Przedsiębiorców Polskich;</w:t>
            </w:r>
          </w:p>
          <w:p w14:paraId="750FF273"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Federacji Związków Pracodawców Ochrony Zdrowia „Porozumienie Zielonogórskie”;</w:t>
            </w:r>
          </w:p>
          <w:p w14:paraId="7FD51365"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Federacji Związków Pracowników Ochrony Zdrowia;</w:t>
            </w:r>
          </w:p>
          <w:p w14:paraId="2C560001"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Forum Związków Zawodowych;</w:t>
            </w:r>
          </w:p>
          <w:p w14:paraId="7A4AF902"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Głównego Inspektora Pracy;</w:t>
            </w:r>
          </w:p>
          <w:p w14:paraId="293FA8FB"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Głównego Inspektora Sanitarnego;</w:t>
            </w:r>
          </w:p>
          <w:p w14:paraId="0A42645A"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 xml:space="preserve">Instytutu Medycyny Pracy imienia prof. J. </w:t>
            </w:r>
            <w:proofErr w:type="spellStart"/>
            <w:r w:rsidRPr="00394091">
              <w:rPr>
                <w:rFonts w:ascii="Times New Roman" w:eastAsia="Calibri" w:hAnsi="Times New Roman" w:cs="Times New Roman"/>
                <w:color w:val="000000"/>
                <w:spacing w:val="-2"/>
              </w:rPr>
              <w:t>Nofera</w:t>
            </w:r>
            <w:proofErr w:type="spellEnd"/>
            <w:r w:rsidRPr="00394091">
              <w:rPr>
                <w:rFonts w:ascii="Times New Roman" w:eastAsia="Calibri" w:hAnsi="Times New Roman" w:cs="Times New Roman"/>
                <w:color w:val="000000"/>
                <w:spacing w:val="-2"/>
              </w:rPr>
              <w:t xml:space="preserve"> w Łodzi;</w:t>
            </w:r>
          </w:p>
          <w:p w14:paraId="301088E5"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Komisji Wspólnej Rządu i Samorządu Terytorialnego;</w:t>
            </w:r>
          </w:p>
          <w:p w14:paraId="05607583"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Konfederacji Lewiatan;</w:t>
            </w:r>
          </w:p>
          <w:p w14:paraId="6088DE88"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Konsultanta Krajowego w dziedzinie medycyny nuklearnej;</w:t>
            </w:r>
          </w:p>
          <w:p w14:paraId="7DCDED3B"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Konsultanta Krajowego w dziedzinie radiologii i diagnostyki obrazowej;</w:t>
            </w:r>
          </w:p>
          <w:p w14:paraId="6012EADD"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Konsultanta Krajowego w dziedzinie radioterapii onkologicznej;</w:t>
            </w:r>
          </w:p>
          <w:p w14:paraId="50C918FE"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Krajowego Centrum Ochrony Radiologicznej w Ochronie Zdrowia;</w:t>
            </w:r>
          </w:p>
          <w:p w14:paraId="4DD0BA04"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Krajowej Rady Diagnostów Laboratoryjnych;</w:t>
            </w:r>
          </w:p>
          <w:p w14:paraId="5B7CFAF3"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Krajowej Rady Fizjoterapeutów;</w:t>
            </w:r>
          </w:p>
          <w:p w14:paraId="64B431C3"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Naczelnej Rady Aptekarskiej;</w:t>
            </w:r>
          </w:p>
          <w:p w14:paraId="6FE5FED9"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Naczelnej Rady Lekarskiej;</w:t>
            </w:r>
          </w:p>
          <w:p w14:paraId="656EB215"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Naczelnej Rady Pielęgniarek i Położnych;</w:t>
            </w:r>
          </w:p>
          <w:p w14:paraId="62B2B528"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Narodowego Funduszu Zdrowia;</w:t>
            </w:r>
          </w:p>
          <w:p w14:paraId="7CDC9E16" w14:textId="7D975EEB"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 xml:space="preserve">Narodowego Instytutu Zdrowia Publicznego </w:t>
            </w:r>
            <w:r w:rsidR="007800B4">
              <w:rPr>
                <w:rFonts w:ascii="Times New Roman" w:eastAsia="Calibri" w:hAnsi="Times New Roman" w:cs="Times New Roman"/>
                <w:color w:val="000000"/>
                <w:spacing w:val="-2"/>
              </w:rPr>
              <w:t>PZH</w:t>
            </w:r>
            <w:r w:rsidRPr="00394091">
              <w:rPr>
                <w:rFonts w:ascii="Times New Roman" w:eastAsia="Calibri" w:hAnsi="Times New Roman" w:cs="Times New Roman"/>
                <w:color w:val="000000"/>
                <w:spacing w:val="-2"/>
              </w:rPr>
              <w:t xml:space="preserve">– </w:t>
            </w:r>
            <w:r w:rsidR="007800B4">
              <w:rPr>
                <w:rFonts w:ascii="Times New Roman" w:eastAsia="Calibri" w:hAnsi="Times New Roman" w:cs="Times New Roman"/>
                <w:color w:val="000000"/>
                <w:spacing w:val="-2"/>
              </w:rPr>
              <w:t>Państwowego Instytutu Badawczego</w:t>
            </w:r>
            <w:r w:rsidRPr="00394091">
              <w:rPr>
                <w:rFonts w:ascii="Times New Roman" w:eastAsia="Calibri" w:hAnsi="Times New Roman" w:cs="Times New Roman"/>
                <w:color w:val="000000"/>
                <w:spacing w:val="-2"/>
              </w:rPr>
              <w:t>;</w:t>
            </w:r>
          </w:p>
          <w:p w14:paraId="36A9BB09"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Niezależnego Samorządnego Związku Zawodowego „Solidarność 80”;</w:t>
            </w:r>
          </w:p>
          <w:p w14:paraId="28792AA7"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Niezależnego Samorządnego Związku Zawodowego „Solidarność”;</w:t>
            </w:r>
          </w:p>
          <w:p w14:paraId="4B660F1A"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Ogólnopolskiego Porozumienia Związków Zawodowych;</w:t>
            </w:r>
          </w:p>
          <w:p w14:paraId="255E2865"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Ogólnopolskiego Stowarzyszenia Szpitali Prywatnych;</w:t>
            </w:r>
          </w:p>
          <w:p w14:paraId="28407D44"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Ogólnopolskiego Zrzeszenia Szpitali Akredytowanych;</w:t>
            </w:r>
          </w:p>
          <w:p w14:paraId="531EE443"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Ogólnopolskiego Związku Pracodawców Szpitali Powiatowych;</w:t>
            </w:r>
          </w:p>
          <w:p w14:paraId="6327AE96"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Ogólnopolskiego Związku Zawodowego Lekarzy;</w:t>
            </w:r>
          </w:p>
          <w:p w14:paraId="04619EF1"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Ogólnopolskiego Związku Zawodowego Pielęgniarek i Położnych;</w:t>
            </w:r>
          </w:p>
          <w:p w14:paraId="301B2CFD"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Ogólnopolskiego Związku Zawodowego Techników Medycznych Radioterapii;</w:t>
            </w:r>
          </w:p>
          <w:p w14:paraId="1D99AA8C"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Państwowej Agencji Atomistyki;</w:t>
            </w:r>
          </w:p>
          <w:p w14:paraId="2B307F06"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Polskiego Lekarskiego Towarzystwa Radiologicznego;</w:t>
            </w:r>
          </w:p>
          <w:p w14:paraId="7E85CB90"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Polskiego Stowarzyszenia Dyrektorów Szpitali;</w:t>
            </w:r>
          </w:p>
          <w:p w14:paraId="6DDF50F7"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 xml:space="preserve">Polskiego Stowarzyszenia Techników </w:t>
            </w:r>
            <w:proofErr w:type="spellStart"/>
            <w:r w:rsidRPr="00394091">
              <w:rPr>
                <w:rFonts w:ascii="Times New Roman" w:eastAsia="Calibri" w:hAnsi="Times New Roman" w:cs="Times New Roman"/>
                <w:color w:val="000000"/>
                <w:spacing w:val="-2"/>
              </w:rPr>
              <w:t>Elektroradiologii</w:t>
            </w:r>
            <w:proofErr w:type="spellEnd"/>
            <w:r w:rsidRPr="00394091">
              <w:rPr>
                <w:rFonts w:ascii="Times New Roman" w:eastAsia="Calibri" w:hAnsi="Times New Roman" w:cs="Times New Roman"/>
                <w:color w:val="000000"/>
                <w:spacing w:val="-2"/>
              </w:rPr>
              <w:t>;</w:t>
            </w:r>
          </w:p>
          <w:p w14:paraId="2B320519"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Polskiego Towarzystwa Fizyki Medycznej;</w:t>
            </w:r>
          </w:p>
          <w:p w14:paraId="38FA632E"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lastRenderedPageBreak/>
              <w:t>Polskiego Towarzystwa Medycyny Nuklearnej;</w:t>
            </w:r>
          </w:p>
          <w:p w14:paraId="78BBA00B"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Polskiego Towarzystwa Radioterapii Onkologicznej;</w:t>
            </w:r>
          </w:p>
          <w:p w14:paraId="50F7B903"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Polskiego Towarzystwa Stomatologicznego;</w:t>
            </w:r>
          </w:p>
          <w:p w14:paraId="4A817B09"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Polskiej Federacji Szpitali;</w:t>
            </w:r>
          </w:p>
          <w:p w14:paraId="67B438CC" w14:textId="47BC2F57" w:rsidR="00871FB3" w:rsidRPr="00F420F3" w:rsidRDefault="00871FB3" w:rsidP="00F420F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Polskiej Unii Szpitali Klinicznych</w:t>
            </w:r>
            <w:r w:rsidRPr="00F420F3">
              <w:rPr>
                <w:rFonts w:ascii="Times New Roman" w:eastAsia="Calibri" w:hAnsi="Times New Roman" w:cs="Times New Roman"/>
                <w:color w:val="000000"/>
                <w:spacing w:val="-2"/>
              </w:rPr>
              <w:t>;</w:t>
            </w:r>
          </w:p>
          <w:p w14:paraId="07F3E299" w14:textId="006BD4F4" w:rsidR="00871FB3"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Pracodawców Rzeczypospolitej Polskiej;</w:t>
            </w:r>
          </w:p>
          <w:p w14:paraId="43D54DD0" w14:textId="1D933E93" w:rsidR="007800B4" w:rsidRPr="007800B4" w:rsidRDefault="007800B4" w:rsidP="007800B4">
            <w:pPr>
              <w:numPr>
                <w:ilvl w:val="0"/>
                <w:numId w:val="5"/>
              </w:numPr>
              <w:spacing w:after="0" w:line="256" w:lineRule="auto"/>
              <w:contextualSpacing/>
              <w:jc w:val="both"/>
              <w:rPr>
                <w:rFonts w:ascii="Times New Roman" w:eastAsia="Calibri" w:hAnsi="Times New Roman" w:cs="Times New Roman"/>
                <w:color w:val="000000"/>
                <w:spacing w:val="-2"/>
              </w:rPr>
            </w:pPr>
            <w:r>
              <w:rPr>
                <w:rFonts w:ascii="Times New Roman" w:eastAsia="Calibri" w:hAnsi="Times New Roman" w:cs="Times New Roman"/>
                <w:color w:val="000000"/>
                <w:spacing w:val="-2"/>
              </w:rPr>
              <w:t xml:space="preserve">Prezesa </w:t>
            </w:r>
            <w:r w:rsidRPr="00394091">
              <w:rPr>
                <w:rFonts w:ascii="Times New Roman" w:eastAsia="Calibri" w:hAnsi="Times New Roman" w:cs="Times New Roman"/>
                <w:color w:val="000000"/>
                <w:spacing w:val="-2"/>
              </w:rPr>
              <w:t>Urzędu Rejestracji Produktów Leczniczych, Wyrobów Medycznych i Produktów Biobójczych;</w:t>
            </w:r>
          </w:p>
          <w:p w14:paraId="4AFE07B7" w14:textId="0AB3D9BF" w:rsidR="007800B4" w:rsidRPr="007800B4" w:rsidRDefault="007800B4" w:rsidP="007800B4">
            <w:pPr>
              <w:numPr>
                <w:ilvl w:val="0"/>
                <w:numId w:val="5"/>
              </w:numPr>
              <w:spacing w:after="0" w:line="256" w:lineRule="auto"/>
              <w:contextualSpacing/>
              <w:jc w:val="both"/>
              <w:rPr>
                <w:rFonts w:ascii="Times New Roman" w:eastAsia="Calibri" w:hAnsi="Times New Roman" w:cs="Times New Roman"/>
                <w:color w:val="000000"/>
                <w:spacing w:val="-2"/>
              </w:rPr>
            </w:pPr>
            <w:r w:rsidRPr="007800B4">
              <w:rPr>
                <w:rFonts w:ascii="Times New Roman" w:eastAsia="Calibri" w:hAnsi="Times New Roman" w:cs="Times New Roman"/>
                <w:color w:val="000000"/>
                <w:spacing w:val="-2"/>
              </w:rPr>
              <w:t>Prezes</w:t>
            </w:r>
            <w:r>
              <w:rPr>
                <w:rFonts w:ascii="Times New Roman" w:eastAsia="Calibri" w:hAnsi="Times New Roman" w:cs="Times New Roman"/>
                <w:color w:val="000000"/>
                <w:spacing w:val="-2"/>
              </w:rPr>
              <w:t>a</w:t>
            </w:r>
            <w:r w:rsidRPr="007800B4">
              <w:rPr>
                <w:rFonts w:ascii="Times New Roman" w:eastAsia="Calibri" w:hAnsi="Times New Roman" w:cs="Times New Roman"/>
                <w:color w:val="000000"/>
                <w:spacing w:val="-2"/>
              </w:rPr>
              <w:t xml:space="preserve"> Urzędu Ochrony Konkurencji i Konsumentów;</w:t>
            </w:r>
          </w:p>
          <w:p w14:paraId="0E7ADA77" w14:textId="30B53AAC" w:rsidR="007800B4" w:rsidRPr="007800B4" w:rsidRDefault="007800B4" w:rsidP="007800B4">
            <w:pPr>
              <w:numPr>
                <w:ilvl w:val="0"/>
                <w:numId w:val="5"/>
              </w:numPr>
              <w:spacing w:after="0" w:line="256" w:lineRule="auto"/>
              <w:contextualSpacing/>
              <w:jc w:val="both"/>
              <w:rPr>
                <w:rFonts w:ascii="Times New Roman" w:eastAsia="Calibri" w:hAnsi="Times New Roman" w:cs="Times New Roman"/>
                <w:color w:val="000000"/>
                <w:spacing w:val="-2"/>
              </w:rPr>
            </w:pPr>
            <w:r w:rsidRPr="007800B4">
              <w:rPr>
                <w:rFonts w:ascii="Times New Roman" w:eastAsia="Calibri" w:hAnsi="Times New Roman" w:cs="Times New Roman"/>
                <w:color w:val="000000"/>
                <w:spacing w:val="-2"/>
              </w:rPr>
              <w:t>Prezes</w:t>
            </w:r>
            <w:r>
              <w:rPr>
                <w:rFonts w:ascii="Times New Roman" w:eastAsia="Calibri" w:hAnsi="Times New Roman" w:cs="Times New Roman"/>
                <w:color w:val="000000"/>
                <w:spacing w:val="-2"/>
              </w:rPr>
              <w:t>a</w:t>
            </w:r>
            <w:r w:rsidRPr="007800B4">
              <w:rPr>
                <w:rFonts w:ascii="Times New Roman" w:eastAsia="Calibri" w:hAnsi="Times New Roman" w:cs="Times New Roman"/>
                <w:color w:val="000000"/>
                <w:spacing w:val="-2"/>
              </w:rPr>
              <w:t xml:space="preserve"> Urzędu Ochrony Danych Osobowych;</w:t>
            </w:r>
          </w:p>
          <w:p w14:paraId="4323AF04" w14:textId="4066D1CD" w:rsidR="007800B4" w:rsidRPr="00394091" w:rsidRDefault="007800B4" w:rsidP="007800B4">
            <w:pPr>
              <w:numPr>
                <w:ilvl w:val="0"/>
                <w:numId w:val="5"/>
              </w:numPr>
              <w:spacing w:after="0" w:line="256" w:lineRule="auto"/>
              <w:contextualSpacing/>
              <w:jc w:val="both"/>
              <w:rPr>
                <w:rFonts w:ascii="Times New Roman" w:eastAsia="Calibri" w:hAnsi="Times New Roman" w:cs="Times New Roman"/>
                <w:color w:val="000000"/>
                <w:spacing w:val="-2"/>
              </w:rPr>
            </w:pPr>
            <w:r w:rsidRPr="007800B4">
              <w:rPr>
                <w:rFonts w:ascii="Times New Roman" w:eastAsia="Calibri" w:hAnsi="Times New Roman" w:cs="Times New Roman"/>
                <w:color w:val="000000"/>
                <w:spacing w:val="-2"/>
              </w:rPr>
              <w:t>Prokuratorii Generalnej Rzeczypospolitej Polskiej</w:t>
            </w:r>
            <w:r>
              <w:rPr>
                <w:rFonts w:ascii="Times New Roman" w:eastAsia="Calibri" w:hAnsi="Times New Roman" w:cs="Times New Roman"/>
                <w:color w:val="000000"/>
                <w:spacing w:val="-2"/>
              </w:rPr>
              <w:t>;</w:t>
            </w:r>
          </w:p>
          <w:p w14:paraId="3248BE0E"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Rady Dialogu Społecznego;</w:t>
            </w:r>
          </w:p>
          <w:p w14:paraId="2BAFFAF3"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Rzecznika Praw Pacjenta;</w:t>
            </w:r>
          </w:p>
          <w:p w14:paraId="193B0A48"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Stowarzyszenia Inspektorów Ochrony Radiologicznej;</w:t>
            </w:r>
          </w:p>
          <w:p w14:paraId="4B79B5B4" w14:textId="4EE91A6C" w:rsidR="00871FB3" w:rsidRPr="00176F74" w:rsidRDefault="00871FB3" w:rsidP="00176F74">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Stowarzyszenia Menedżerów Opieki Zdrowotnej;</w:t>
            </w:r>
          </w:p>
          <w:p w14:paraId="1357F8C6"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Związku Pracodawców Business Centre Club;</w:t>
            </w:r>
          </w:p>
          <w:p w14:paraId="30EF8605"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Związku Pracodawców Służby Zdrowia Ministerstwa Spraw Wewnętrznych i Administracji;</w:t>
            </w:r>
          </w:p>
          <w:p w14:paraId="6FF5293B" w14:textId="77777777" w:rsidR="00871FB3" w:rsidRPr="00394091"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Związku Przedsiębiorców i Pracodawców;</w:t>
            </w:r>
          </w:p>
          <w:p w14:paraId="74EC747F" w14:textId="77777777" w:rsidR="00D24924" w:rsidRDefault="00871FB3" w:rsidP="00871FB3">
            <w:pPr>
              <w:numPr>
                <w:ilvl w:val="0"/>
                <w:numId w:val="5"/>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Związku Rzemiosła Polskiego</w:t>
            </w:r>
          </w:p>
          <w:p w14:paraId="2B3BBE36" w14:textId="2394DBC1" w:rsidR="00871FB3" w:rsidRPr="00394091" w:rsidRDefault="00D24924" w:rsidP="00871FB3">
            <w:pPr>
              <w:numPr>
                <w:ilvl w:val="0"/>
                <w:numId w:val="5"/>
              </w:numPr>
              <w:spacing w:after="0" w:line="256" w:lineRule="auto"/>
              <w:contextualSpacing/>
              <w:jc w:val="both"/>
              <w:rPr>
                <w:rFonts w:ascii="Times New Roman" w:eastAsia="Calibri" w:hAnsi="Times New Roman" w:cs="Times New Roman"/>
                <w:color w:val="000000"/>
                <w:spacing w:val="-2"/>
              </w:rPr>
            </w:pPr>
            <w:r>
              <w:rPr>
                <w:rFonts w:ascii="Times New Roman" w:eastAsia="Calibri" w:hAnsi="Times New Roman" w:cs="Times New Roman"/>
                <w:color w:val="000000"/>
                <w:spacing w:val="-2"/>
              </w:rPr>
              <w:t>Polskiego Centrum Akredytacji</w:t>
            </w:r>
            <w:r w:rsidR="00871FB3" w:rsidRPr="00394091">
              <w:rPr>
                <w:rFonts w:ascii="Times New Roman" w:eastAsia="Calibri" w:hAnsi="Times New Roman" w:cs="Times New Roman"/>
                <w:color w:val="000000"/>
                <w:spacing w:val="-2"/>
              </w:rPr>
              <w:t>.</w:t>
            </w:r>
          </w:p>
          <w:p w14:paraId="2DFCE82C" w14:textId="77777777" w:rsidR="00871FB3" w:rsidRPr="00394091" w:rsidRDefault="00871FB3" w:rsidP="00871FB3">
            <w:pPr>
              <w:spacing w:after="0" w:line="240" w:lineRule="auto"/>
              <w:rPr>
                <w:rFonts w:ascii="Times New Roman" w:eastAsia="Times New Roman" w:hAnsi="Times New Roman" w:cs="Times New Roman"/>
                <w:sz w:val="24"/>
                <w:szCs w:val="24"/>
                <w:lang w:eastAsia="pl-PL"/>
              </w:rPr>
            </w:pPr>
          </w:p>
          <w:p w14:paraId="5A63AF8F" w14:textId="26017D0D" w:rsidR="00871FB3" w:rsidRPr="00394091" w:rsidRDefault="00871FB3" w:rsidP="00871FB3">
            <w:pPr>
              <w:spacing w:after="0" w:line="240" w:lineRule="auto"/>
              <w:jc w:val="both"/>
              <w:rPr>
                <w:rFonts w:ascii="Times New Roman" w:eastAsia="Times New Roman" w:hAnsi="Times New Roman" w:cs="Times New Roman"/>
                <w:lang w:eastAsia="pl-PL"/>
              </w:rPr>
            </w:pPr>
            <w:r w:rsidRPr="00394091">
              <w:rPr>
                <w:rFonts w:ascii="Times New Roman" w:eastAsia="Times New Roman" w:hAnsi="Times New Roman" w:cs="Times New Roman"/>
                <w:color w:val="000000"/>
                <w:spacing w:val="-2"/>
                <w:lang w:eastAsia="pl-PL"/>
              </w:rPr>
              <w:t xml:space="preserve">Projekt rozporządzenia </w:t>
            </w:r>
            <w:r w:rsidR="00F455D5">
              <w:rPr>
                <w:rFonts w:ascii="Times New Roman" w:eastAsia="Times New Roman" w:hAnsi="Times New Roman" w:cs="Times New Roman"/>
                <w:color w:val="000000"/>
                <w:spacing w:val="-2"/>
                <w:lang w:eastAsia="pl-PL"/>
              </w:rPr>
              <w:t>zosta</w:t>
            </w:r>
            <w:r w:rsidR="00024165">
              <w:rPr>
                <w:rFonts w:ascii="Times New Roman" w:eastAsia="Times New Roman" w:hAnsi="Times New Roman" w:cs="Times New Roman"/>
                <w:color w:val="000000"/>
                <w:spacing w:val="-2"/>
                <w:lang w:eastAsia="pl-PL"/>
              </w:rPr>
              <w:t>nie</w:t>
            </w:r>
            <w:r w:rsidR="00F455D5" w:rsidRPr="00394091">
              <w:rPr>
                <w:rFonts w:ascii="Times New Roman" w:eastAsia="Times New Roman" w:hAnsi="Times New Roman" w:cs="Times New Roman"/>
                <w:color w:val="000000"/>
                <w:spacing w:val="-2"/>
                <w:lang w:eastAsia="pl-PL"/>
              </w:rPr>
              <w:t xml:space="preserve"> </w:t>
            </w:r>
            <w:r w:rsidRPr="00394091">
              <w:rPr>
                <w:rFonts w:ascii="Times New Roman" w:eastAsia="Times New Roman" w:hAnsi="Times New Roman" w:cs="Times New Roman"/>
                <w:color w:val="000000"/>
                <w:spacing w:val="-2"/>
                <w:lang w:eastAsia="pl-PL"/>
              </w:rPr>
              <w:t>udostępniony na stronie podmiotowej Rządowego Centrum Legislacji, w</w:t>
            </w:r>
            <w:r>
              <w:rPr>
                <w:rFonts w:ascii="Times New Roman" w:eastAsia="Times New Roman" w:hAnsi="Times New Roman" w:cs="Times New Roman"/>
                <w:color w:val="000000"/>
                <w:spacing w:val="-2"/>
                <w:lang w:eastAsia="pl-PL"/>
              </w:rPr>
              <w:t> </w:t>
            </w:r>
            <w:r w:rsidRPr="00394091">
              <w:rPr>
                <w:rFonts w:ascii="Times New Roman" w:eastAsia="Times New Roman" w:hAnsi="Times New Roman" w:cs="Times New Roman"/>
                <w:color w:val="000000"/>
                <w:spacing w:val="-2"/>
                <w:lang w:eastAsia="pl-PL"/>
              </w:rPr>
              <w:t xml:space="preserve">serwisie „Rządowy Proces Legislacyjny”, zgodnie z art. 5 ustawy z dnia 7 lipca 2005 r. o działalności lobbingowej w procesie stanowienia prawa (Dz. U. z 2017 r. poz. 248) oraz uchwałą nr 190 Rady Ministrów z dnia 29 października 2013 r. – Regulamin pracy Rady Ministrów (M.P. z </w:t>
            </w:r>
            <w:r w:rsidR="002625F9">
              <w:rPr>
                <w:rFonts w:ascii="Times New Roman" w:eastAsia="Times New Roman" w:hAnsi="Times New Roman" w:cs="Times New Roman"/>
                <w:color w:val="000000"/>
                <w:spacing w:val="-2"/>
                <w:lang w:eastAsia="pl-PL"/>
              </w:rPr>
              <w:t>2022</w:t>
            </w:r>
            <w:r w:rsidR="002625F9" w:rsidRPr="00394091">
              <w:rPr>
                <w:rFonts w:ascii="Times New Roman" w:eastAsia="Times New Roman" w:hAnsi="Times New Roman" w:cs="Times New Roman"/>
                <w:color w:val="000000"/>
                <w:spacing w:val="-2"/>
                <w:lang w:eastAsia="pl-PL"/>
              </w:rPr>
              <w:t xml:space="preserve"> </w:t>
            </w:r>
            <w:r w:rsidRPr="00394091">
              <w:rPr>
                <w:rFonts w:ascii="Times New Roman" w:eastAsia="Times New Roman" w:hAnsi="Times New Roman" w:cs="Times New Roman"/>
                <w:color w:val="000000"/>
                <w:spacing w:val="-2"/>
                <w:lang w:eastAsia="pl-PL"/>
              </w:rPr>
              <w:t xml:space="preserve">r. poz. </w:t>
            </w:r>
            <w:r w:rsidR="002625F9">
              <w:rPr>
                <w:rFonts w:ascii="Times New Roman" w:eastAsia="Times New Roman" w:hAnsi="Times New Roman" w:cs="Times New Roman"/>
                <w:color w:val="000000"/>
                <w:spacing w:val="-2"/>
                <w:lang w:eastAsia="pl-PL"/>
              </w:rPr>
              <w:t>348</w:t>
            </w:r>
            <w:r w:rsidRPr="00394091">
              <w:rPr>
                <w:rFonts w:ascii="Times New Roman" w:eastAsia="Times New Roman" w:hAnsi="Times New Roman" w:cs="Times New Roman"/>
                <w:color w:val="000000"/>
                <w:spacing w:val="-2"/>
                <w:lang w:eastAsia="pl-PL"/>
              </w:rPr>
              <w:t>).</w:t>
            </w:r>
            <w:r w:rsidRPr="00394091">
              <w:rPr>
                <w:rFonts w:ascii="Times New Roman" w:eastAsia="Times New Roman" w:hAnsi="Times New Roman" w:cs="Times New Roman"/>
                <w:lang w:eastAsia="pl-PL"/>
              </w:rPr>
              <w:t xml:space="preserve"> </w:t>
            </w:r>
          </w:p>
          <w:p w14:paraId="36DCC1BC" w14:textId="71D7BD3B" w:rsidR="00871FB3" w:rsidRPr="00DC6133" w:rsidRDefault="00871FB3" w:rsidP="00871FB3">
            <w:pPr>
              <w:spacing w:before="60" w:after="60" w:line="240" w:lineRule="auto"/>
              <w:jc w:val="both"/>
              <w:rPr>
                <w:rFonts w:ascii="Times New Roman" w:eastAsia="Calibri" w:hAnsi="Times New Roman" w:cs="Times New Roman"/>
                <w:color w:val="000000"/>
              </w:rPr>
            </w:pPr>
            <w:r w:rsidRPr="00394091">
              <w:rPr>
                <w:rFonts w:ascii="Times New Roman" w:eastAsia="Times New Roman" w:hAnsi="Times New Roman" w:cs="Times New Roman"/>
                <w:color w:val="000000"/>
                <w:spacing w:val="-2"/>
                <w:lang w:eastAsia="pl-PL"/>
              </w:rPr>
              <w:t xml:space="preserve">Wyniki konsultacji publicznych i opiniowania </w:t>
            </w:r>
            <w:r w:rsidR="00F455D5">
              <w:rPr>
                <w:rFonts w:ascii="Times New Roman" w:eastAsia="Times New Roman" w:hAnsi="Times New Roman" w:cs="Times New Roman"/>
                <w:color w:val="000000"/>
                <w:spacing w:val="-2"/>
                <w:lang w:eastAsia="pl-PL"/>
              </w:rPr>
              <w:t>zostaną</w:t>
            </w:r>
            <w:r w:rsidR="00F455D5" w:rsidRPr="00394091">
              <w:rPr>
                <w:rFonts w:ascii="Times New Roman" w:eastAsia="Times New Roman" w:hAnsi="Times New Roman" w:cs="Times New Roman"/>
                <w:color w:val="000000"/>
                <w:spacing w:val="-2"/>
                <w:lang w:eastAsia="pl-PL"/>
              </w:rPr>
              <w:t xml:space="preserve"> </w:t>
            </w:r>
            <w:r w:rsidRPr="00394091">
              <w:rPr>
                <w:rFonts w:ascii="Times New Roman" w:eastAsia="Times New Roman" w:hAnsi="Times New Roman" w:cs="Times New Roman"/>
                <w:color w:val="000000"/>
                <w:spacing w:val="-2"/>
                <w:lang w:eastAsia="pl-PL"/>
              </w:rPr>
              <w:t xml:space="preserve">przedstawione w raporcie załączonym do niniejszej Oceny Skutków Regulacji. </w:t>
            </w:r>
          </w:p>
        </w:tc>
      </w:tr>
      <w:tr w:rsidR="00871FB3" w:rsidRPr="00DC6133" w14:paraId="5DCBE445" w14:textId="77777777" w:rsidTr="00F555A5">
        <w:trPr>
          <w:gridAfter w:val="1"/>
          <w:wAfter w:w="10" w:type="dxa"/>
          <w:trHeight w:val="363"/>
          <w:jc w:val="center"/>
        </w:trPr>
        <w:tc>
          <w:tcPr>
            <w:tcW w:w="10937" w:type="dxa"/>
            <w:gridSpan w:val="29"/>
            <w:shd w:val="clear" w:color="auto" w:fill="99CCFF"/>
            <w:vAlign w:val="center"/>
          </w:tcPr>
          <w:p w14:paraId="1B74757C" w14:textId="77777777" w:rsidR="00871FB3" w:rsidRPr="00DC6133" w:rsidRDefault="00871FB3" w:rsidP="00871FB3">
            <w:pPr>
              <w:numPr>
                <w:ilvl w:val="0"/>
                <w:numId w:val="1"/>
              </w:numPr>
              <w:spacing w:before="60" w:after="60" w:line="240" w:lineRule="auto"/>
              <w:ind w:left="318" w:hanging="284"/>
              <w:jc w:val="both"/>
              <w:rPr>
                <w:rFonts w:ascii="Times New Roman" w:eastAsia="Calibri" w:hAnsi="Times New Roman" w:cs="Times New Roman"/>
                <w:b/>
                <w:color w:val="000000"/>
              </w:rPr>
            </w:pPr>
            <w:r w:rsidRPr="00DC6133">
              <w:rPr>
                <w:rFonts w:ascii="Times New Roman" w:eastAsia="Calibri" w:hAnsi="Times New Roman" w:cs="Times New Roman"/>
                <w:b/>
                <w:color w:val="000000"/>
              </w:rPr>
              <w:lastRenderedPageBreak/>
              <w:t xml:space="preserve"> Wpływ na sektor finansów publicznych</w:t>
            </w:r>
          </w:p>
        </w:tc>
      </w:tr>
      <w:tr w:rsidR="00871FB3" w:rsidRPr="00DC6133" w14:paraId="5B76B3C1" w14:textId="77777777" w:rsidTr="00F555A5">
        <w:trPr>
          <w:gridAfter w:val="1"/>
          <w:wAfter w:w="10" w:type="dxa"/>
          <w:trHeight w:val="142"/>
          <w:jc w:val="center"/>
        </w:trPr>
        <w:tc>
          <w:tcPr>
            <w:tcW w:w="3133" w:type="dxa"/>
            <w:gridSpan w:val="4"/>
            <w:vMerge w:val="restart"/>
            <w:shd w:val="clear" w:color="auto" w:fill="FFFFFF"/>
          </w:tcPr>
          <w:p w14:paraId="72011D2E" w14:textId="1AA44570" w:rsidR="00871FB3" w:rsidRPr="00DC6133" w:rsidRDefault="00871FB3" w:rsidP="00871FB3">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t xml:space="preserve">(ceny stałe z </w:t>
            </w:r>
            <w:r>
              <w:rPr>
                <w:rFonts w:ascii="Times New Roman" w:eastAsia="Calibri" w:hAnsi="Times New Roman" w:cs="Times New Roman"/>
                <w:color w:val="000000"/>
              </w:rPr>
              <w:t>2021</w:t>
            </w:r>
            <w:r w:rsidRPr="00DC6133">
              <w:rPr>
                <w:rFonts w:ascii="Times New Roman" w:eastAsia="Calibri" w:hAnsi="Times New Roman" w:cs="Times New Roman"/>
                <w:color w:val="000000"/>
              </w:rPr>
              <w:t xml:space="preserve"> r.)</w:t>
            </w:r>
          </w:p>
        </w:tc>
        <w:tc>
          <w:tcPr>
            <w:tcW w:w="7804" w:type="dxa"/>
            <w:gridSpan w:val="25"/>
            <w:shd w:val="clear" w:color="auto" w:fill="FFFFFF"/>
          </w:tcPr>
          <w:p w14:paraId="2FC9600E" w14:textId="77777777" w:rsidR="00871FB3" w:rsidRPr="00DC6133" w:rsidRDefault="00871FB3" w:rsidP="00871FB3">
            <w:pPr>
              <w:spacing w:before="60" w:after="60" w:line="240" w:lineRule="auto"/>
              <w:jc w:val="center"/>
              <w:rPr>
                <w:rFonts w:ascii="Times New Roman" w:eastAsia="Calibri" w:hAnsi="Times New Roman" w:cs="Times New Roman"/>
                <w:color w:val="000000"/>
              </w:rPr>
            </w:pPr>
            <w:r w:rsidRPr="00DC6133">
              <w:rPr>
                <w:rFonts w:ascii="Times New Roman" w:eastAsia="Calibri" w:hAnsi="Times New Roman" w:cs="Times New Roman"/>
                <w:color w:val="000000"/>
              </w:rPr>
              <w:t>Skutki w okresie 10 lat od wejścia w życie zmian [mln zł]</w:t>
            </w:r>
          </w:p>
        </w:tc>
      </w:tr>
      <w:tr w:rsidR="00871FB3" w:rsidRPr="00DC6133" w14:paraId="591569A9" w14:textId="77777777" w:rsidTr="00F555A5">
        <w:trPr>
          <w:gridAfter w:val="1"/>
          <w:wAfter w:w="10" w:type="dxa"/>
          <w:trHeight w:val="142"/>
          <w:jc w:val="center"/>
        </w:trPr>
        <w:tc>
          <w:tcPr>
            <w:tcW w:w="3133" w:type="dxa"/>
            <w:gridSpan w:val="4"/>
            <w:vMerge/>
            <w:shd w:val="clear" w:color="auto" w:fill="FFFFFF"/>
          </w:tcPr>
          <w:p w14:paraId="73DAD591" w14:textId="77777777" w:rsidR="00871FB3" w:rsidRPr="00DC6133" w:rsidRDefault="00871FB3" w:rsidP="00871FB3">
            <w:pPr>
              <w:spacing w:before="60" w:after="60" w:line="240" w:lineRule="auto"/>
              <w:rPr>
                <w:rFonts w:ascii="Times New Roman" w:eastAsia="Calibri" w:hAnsi="Times New Roman" w:cs="Times New Roman"/>
                <w:color w:val="000000"/>
              </w:rPr>
            </w:pPr>
          </w:p>
        </w:tc>
        <w:tc>
          <w:tcPr>
            <w:tcW w:w="569" w:type="dxa"/>
            <w:gridSpan w:val="2"/>
            <w:shd w:val="clear" w:color="auto" w:fill="FFFFFF"/>
          </w:tcPr>
          <w:p w14:paraId="2D400F71" w14:textId="77777777" w:rsidR="00871FB3" w:rsidRPr="00DC6133" w:rsidRDefault="00871FB3" w:rsidP="00871FB3">
            <w:pPr>
              <w:spacing w:before="60" w:after="60" w:line="240" w:lineRule="auto"/>
              <w:jc w:val="center"/>
              <w:rPr>
                <w:rFonts w:ascii="Times New Roman" w:eastAsia="Calibri" w:hAnsi="Times New Roman" w:cs="Times New Roman"/>
                <w:color w:val="000000"/>
              </w:rPr>
            </w:pPr>
            <w:r w:rsidRPr="00DC6133">
              <w:rPr>
                <w:rFonts w:ascii="Times New Roman" w:eastAsia="Calibri" w:hAnsi="Times New Roman" w:cs="Times New Roman"/>
                <w:color w:val="000000"/>
              </w:rPr>
              <w:t>0</w:t>
            </w:r>
          </w:p>
        </w:tc>
        <w:tc>
          <w:tcPr>
            <w:tcW w:w="570" w:type="dxa"/>
            <w:gridSpan w:val="2"/>
            <w:shd w:val="clear" w:color="auto" w:fill="FFFFFF"/>
          </w:tcPr>
          <w:p w14:paraId="0D9D2DF5" w14:textId="77777777" w:rsidR="00871FB3" w:rsidRPr="00DC6133" w:rsidRDefault="00871FB3" w:rsidP="00871FB3">
            <w:pPr>
              <w:spacing w:before="60" w:after="60" w:line="240" w:lineRule="auto"/>
              <w:jc w:val="center"/>
              <w:rPr>
                <w:rFonts w:ascii="Times New Roman" w:eastAsia="Calibri" w:hAnsi="Times New Roman" w:cs="Times New Roman"/>
                <w:color w:val="000000"/>
              </w:rPr>
            </w:pPr>
            <w:r w:rsidRPr="00DC6133">
              <w:rPr>
                <w:rFonts w:ascii="Times New Roman" w:eastAsia="Calibri" w:hAnsi="Times New Roman" w:cs="Times New Roman"/>
                <w:color w:val="000000"/>
              </w:rPr>
              <w:t>1</w:t>
            </w:r>
          </w:p>
        </w:tc>
        <w:tc>
          <w:tcPr>
            <w:tcW w:w="570" w:type="dxa"/>
            <w:gridSpan w:val="2"/>
            <w:shd w:val="clear" w:color="auto" w:fill="FFFFFF"/>
          </w:tcPr>
          <w:p w14:paraId="61F8C38E" w14:textId="77777777" w:rsidR="00871FB3" w:rsidRPr="00DC6133" w:rsidRDefault="00871FB3" w:rsidP="00871FB3">
            <w:pPr>
              <w:spacing w:before="60" w:after="60" w:line="240" w:lineRule="auto"/>
              <w:jc w:val="center"/>
              <w:rPr>
                <w:rFonts w:ascii="Times New Roman" w:eastAsia="Calibri" w:hAnsi="Times New Roman" w:cs="Times New Roman"/>
                <w:color w:val="000000"/>
              </w:rPr>
            </w:pPr>
            <w:r w:rsidRPr="00DC6133">
              <w:rPr>
                <w:rFonts w:ascii="Times New Roman" w:eastAsia="Calibri" w:hAnsi="Times New Roman" w:cs="Times New Roman"/>
                <w:color w:val="000000"/>
              </w:rPr>
              <w:t>2</w:t>
            </w:r>
          </w:p>
        </w:tc>
        <w:tc>
          <w:tcPr>
            <w:tcW w:w="569" w:type="dxa"/>
            <w:gridSpan w:val="3"/>
            <w:shd w:val="clear" w:color="auto" w:fill="FFFFFF"/>
          </w:tcPr>
          <w:p w14:paraId="1F72F73A" w14:textId="77777777" w:rsidR="00871FB3" w:rsidRPr="00DC6133" w:rsidRDefault="00871FB3" w:rsidP="00871FB3">
            <w:pPr>
              <w:spacing w:before="60" w:after="60" w:line="240" w:lineRule="auto"/>
              <w:jc w:val="center"/>
              <w:rPr>
                <w:rFonts w:ascii="Times New Roman" w:eastAsia="Calibri" w:hAnsi="Times New Roman" w:cs="Times New Roman"/>
                <w:color w:val="000000"/>
              </w:rPr>
            </w:pPr>
            <w:r w:rsidRPr="00DC6133">
              <w:rPr>
                <w:rFonts w:ascii="Times New Roman" w:eastAsia="Calibri" w:hAnsi="Times New Roman" w:cs="Times New Roman"/>
                <w:color w:val="000000"/>
              </w:rPr>
              <w:t>3</w:t>
            </w:r>
          </w:p>
        </w:tc>
        <w:tc>
          <w:tcPr>
            <w:tcW w:w="570" w:type="dxa"/>
            <w:gridSpan w:val="2"/>
            <w:shd w:val="clear" w:color="auto" w:fill="FFFFFF"/>
          </w:tcPr>
          <w:p w14:paraId="18834157" w14:textId="77777777" w:rsidR="00871FB3" w:rsidRPr="00DC6133" w:rsidRDefault="00871FB3" w:rsidP="00871FB3">
            <w:pPr>
              <w:spacing w:before="60" w:after="60" w:line="240" w:lineRule="auto"/>
              <w:jc w:val="center"/>
              <w:rPr>
                <w:rFonts w:ascii="Times New Roman" w:eastAsia="Calibri" w:hAnsi="Times New Roman" w:cs="Times New Roman"/>
                <w:color w:val="000000"/>
              </w:rPr>
            </w:pPr>
            <w:r w:rsidRPr="00DC6133">
              <w:rPr>
                <w:rFonts w:ascii="Times New Roman" w:eastAsia="Calibri" w:hAnsi="Times New Roman" w:cs="Times New Roman"/>
                <w:color w:val="000000"/>
              </w:rPr>
              <w:t>4</w:t>
            </w:r>
          </w:p>
        </w:tc>
        <w:tc>
          <w:tcPr>
            <w:tcW w:w="570" w:type="dxa"/>
            <w:shd w:val="clear" w:color="auto" w:fill="FFFFFF"/>
          </w:tcPr>
          <w:p w14:paraId="7E6E7534" w14:textId="77777777" w:rsidR="00871FB3" w:rsidRPr="00DC6133" w:rsidRDefault="00871FB3" w:rsidP="00871FB3">
            <w:pPr>
              <w:spacing w:before="60" w:after="60" w:line="240" w:lineRule="auto"/>
              <w:jc w:val="center"/>
              <w:rPr>
                <w:rFonts w:ascii="Times New Roman" w:eastAsia="Calibri" w:hAnsi="Times New Roman" w:cs="Times New Roman"/>
                <w:color w:val="000000"/>
              </w:rPr>
            </w:pPr>
            <w:r w:rsidRPr="00DC6133">
              <w:rPr>
                <w:rFonts w:ascii="Times New Roman" w:eastAsia="Calibri" w:hAnsi="Times New Roman" w:cs="Times New Roman"/>
                <w:color w:val="000000"/>
              </w:rPr>
              <w:t>5</w:t>
            </w:r>
          </w:p>
        </w:tc>
        <w:tc>
          <w:tcPr>
            <w:tcW w:w="570" w:type="dxa"/>
            <w:gridSpan w:val="3"/>
            <w:shd w:val="clear" w:color="auto" w:fill="FFFFFF"/>
          </w:tcPr>
          <w:p w14:paraId="6E933A7B" w14:textId="77777777" w:rsidR="00871FB3" w:rsidRPr="00DC6133" w:rsidRDefault="00871FB3" w:rsidP="00871FB3">
            <w:pPr>
              <w:spacing w:before="60" w:after="60" w:line="240" w:lineRule="auto"/>
              <w:jc w:val="center"/>
              <w:rPr>
                <w:rFonts w:ascii="Times New Roman" w:eastAsia="Calibri" w:hAnsi="Times New Roman" w:cs="Times New Roman"/>
                <w:color w:val="000000"/>
              </w:rPr>
            </w:pPr>
            <w:r w:rsidRPr="00DC6133">
              <w:rPr>
                <w:rFonts w:ascii="Times New Roman" w:eastAsia="Calibri" w:hAnsi="Times New Roman" w:cs="Times New Roman"/>
                <w:color w:val="000000"/>
              </w:rPr>
              <w:t>6</w:t>
            </w:r>
          </w:p>
        </w:tc>
        <w:tc>
          <w:tcPr>
            <w:tcW w:w="569" w:type="dxa"/>
            <w:gridSpan w:val="3"/>
            <w:shd w:val="clear" w:color="auto" w:fill="FFFFFF"/>
          </w:tcPr>
          <w:p w14:paraId="213784C9" w14:textId="77777777" w:rsidR="00871FB3" w:rsidRPr="00DC6133" w:rsidRDefault="00871FB3" w:rsidP="00871FB3">
            <w:pPr>
              <w:spacing w:before="60" w:after="60" w:line="240" w:lineRule="auto"/>
              <w:jc w:val="center"/>
              <w:rPr>
                <w:rFonts w:ascii="Times New Roman" w:eastAsia="Calibri" w:hAnsi="Times New Roman" w:cs="Times New Roman"/>
                <w:color w:val="000000"/>
              </w:rPr>
            </w:pPr>
            <w:r w:rsidRPr="00DC6133">
              <w:rPr>
                <w:rFonts w:ascii="Times New Roman" w:eastAsia="Calibri" w:hAnsi="Times New Roman" w:cs="Times New Roman"/>
                <w:color w:val="000000"/>
              </w:rPr>
              <w:t>7</w:t>
            </w:r>
          </w:p>
        </w:tc>
        <w:tc>
          <w:tcPr>
            <w:tcW w:w="570" w:type="dxa"/>
            <w:gridSpan w:val="2"/>
            <w:shd w:val="clear" w:color="auto" w:fill="FFFFFF"/>
          </w:tcPr>
          <w:p w14:paraId="69EDCF7C" w14:textId="77777777" w:rsidR="00871FB3" w:rsidRPr="00DC6133" w:rsidRDefault="00871FB3" w:rsidP="00871FB3">
            <w:pPr>
              <w:spacing w:before="60" w:after="60" w:line="240" w:lineRule="auto"/>
              <w:jc w:val="center"/>
              <w:rPr>
                <w:rFonts w:ascii="Times New Roman" w:eastAsia="Calibri" w:hAnsi="Times New Roman" w:cs="Times New Roman"/>
                <w:color w:val="000000"/>
              </w:rPr>
            </w:pPr>
            <w:r w:rsidRPr="00DC6133">
              <w:rPr>
                <w:rFonts w:ascii="Times New Roman" w:eastAsia="Calibri" w:hAnsi="Times New Roman" w:cs="Times New Roman"/>
                <w:color w:val="000000"/>
              </w:rPr>
              <w:t>8</w:t>
            </w:r>
          </w:p>
        </w:tc>
        <w:tc>
          <w:tcPr>
            <w:tcW w:w="570" w:type="dxa"/>
            <w:gridSpan w:val="2"/>
            <w:shd w:val="clear" w:color="auto" w:fill="FFFFFF"/>
          </w:tcPr>
          <w:p w14:paraId="633DB84A" w14:textId="77777777" w:rsidR="00871FB3" w:rsidRPr="00DC6133" w:rsidRDefault="00871FB3" w:rsidP="00871FB3">
            <w:pPr>
              <w:spacing w:before="60" w:after="60" w:line="240" w:lineRule="auto"/>
              <w:jc w:val="center"/>
              <w:rPr>
                <w:rFonts w:ascii="Times New Roman" w:eastAsia="Calibri" w:hAnsi="Times New Roman" w:cs="Times New Roman"/>
                <w:color w:val="000000"/>
              </w:rPr>
            </w:pPr>
            <w:r w:rsidRPr="00DC6133">
              <w:rPr>
                <w:rFonts w:ascii="Times New Roman" w:eastAsia="Calibri" w:hAnsi="Times New Roman" w:cs="Times New Roman"/>
                <w:color w:val="000000"/>
              </w:rPr>
              <w:t>9</w:t>
            </w:r>
          </w:p>
        </w:tc>
        <w:tc>
          <w:tcPr>
            <w:tcW w:w="570" w:type="dxa"/>
            <w:gridSpan w:val="2"/>
            <w:shd w:val="clear" w:color="auto" w:fill="FFFFFF"/>
          </w:tcPr>
          <w:p w14:paraId="51D3CC78" w14:textId="77777777" w:rsidR="00871FB3" w:rsidRPr="00DC6133" w:rsidRDefault="00871FB3" w:rsidP="00871FB3">
            <w:pPr>
              <w:spacing w:before="60" w:after="60" w:line="240" w:lineRule="auto"/>
              <w:jc w:val="center"/>
              <w:rPr>
                <w:rFonts w:ascii="Times New Roman" w:eastAsia="Calibri" w:hAnsi="Times New Roman" w:cs="Times New Roman"/>
                <w:color w:val="000000"/>
              </w:rPr>
            </w:pPr>
            <w:r w:rsidRPr="00DC6133">
              <w:rPr>
                <w:rFonts w:ascii="Times New Roman" w:eastAsia="Calibri" w:hAnsi="Times New Roman" w:cs="Times New Roman"/>
                <w:color w:val="000000"/>
              </w:rPr>
              <w:t>10</w:t>
            </w:r>
          </w:p>
        </w:tc>
        <w:tc>
          <w:tcPr>
            <w:tcW w:w="1537" w:type="dxa"/>
            <w:shd w:val="clear" w:color="auto" w:fill="FFFFFF"/>
          </w:tcPr>
          <w:p w14:paraId="4557EC6A" w14:textId="77777777" w:rsidR="00871FB3" w:rsidRPr="00DC6133" w:rsidRDefault="00871FB3" w:rsidP="00871FB3">
            <w:pPr>
              <w:spacing w:before="60" w:after="60" w:line="240" w:lineRule="auto"/>
              <w:ind w:left="-77" w:right="-72"/>
              <w:jc w:val="center"/>
              <w:rPr>
                <w:rFonts w:ascii="Times New Roman" w:eastAsia="Calibri" w:hAnsi="Times New Roman" w:cs="Times New Roman"/>
                <w:color w:val="000000"/>
              </w:rPr>
            </w:pPr>
            <w:r w:rsidRPr="00DC6133">
              <w:rPr>
                <w:rFonts w:ascii="Times New Roman" w:eastAsia="Calibri" w:hAnsi="Times New Roman" w:cs="Times New Roman"/>
                <w:color w:val="000000"/>
              </w:rPr>
              <w:t>Łącznie (0–10)</w:t>
            </w:r>
          </w:p>
        </w:tc>
      </w:tr>
      <w:tr w:rsidR="00871FB3" w:rsidRPr="00DC6133" w14:paraId="5C42CD8C" w14:textId="77777777" w:rsidTr="00F555A5">
        <w:trPr>
          <w:trHeight w:val="321"/>
          <w:jc w:val="center"/>
        </w:trPr>
        <w:tc>
          <w:tcPr>
            <w:tcW w:w="3133" w:type="dxa"/>
            <w:gridSpan w:val="4"/>
            <w:shd w:val="clear" w:color="auto" w:fill="FFFFFF"/>
            <w:vAlign w:val="center"/>
          </w:tcPr>
          <w:p w14:paraId="2583595B" w14:textId="77777777" w:rsidR="00871FB3" w:rsidRPr="00DC6133" w:rsidRDefault="00871FB3" w:rsidP="00871FB3">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b/>
                <w:color w:val="000000"/>
              </w:rPr>
              <w:t>Dochody ogółem</w:t>
            </w:r>
          </w:p>
        </w:tc>
        <w:tc>
          <w:tcPr>
            <w:tcW w:w="569" w:type="dxa"/>
            <w:gridSpan w:val="2"/>
            <w:shd w:val="clear" w:color="auto" w:fill="FFFFFF"/>
          </w:tcPr>
          <w:p w14:paraId="3B07AD2F"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308BB599"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7AC27A08"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69" w:type="dxa"/>
            <w:gridSpan w:val="3"/>
            <w:shd w:val="clear" w:color="auto" w:fill="FFFFFF"/>
          </w:tcPr>
          <w:p w14:paraId="11D081BD"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070DFAD1"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shd w:val="clear" w:color="auto" w:fill="FFFFFF"/>
          </w:tcPr>
          <w:p w14:paraId="3E5BDE85"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3"/>
            <w:shd w:val="clear" w:color="auto" w:fill="FFFFFF"/>
          </w:tcPr>
          <w:p w14:paraId="65746FCD"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69" w:type="dxa"/>
            <w:gridSpan w:val="3"/>
            <w:shd w:val="clear" w:color="auto" w:fill="FFFFFF"/>
          </w:tcPr>
          <w:p w14:paraId="3EF2035C"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6577ABDF"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3B0986D8"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7786D778"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1547" w:type="dxa"/>
            <w:gridSpan w:val="2"/>
            <w:shd w:val="clear" w:color="auto" w:fill="FFFFFF"/>
          </w:tcPr>
          <w:p w14:paraId="0B050FFB"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r>
      <w:tr w:rsidR="00871FB3" w:rsidRPr="00DC6133" w14:paraId="1128C937" w14:textId="77777777" w:rsidTr="00F555A5">
        <w:trPr>
          <w:trHeight w:val="321"/>
          <w:jc w:val="center"/>
        </w:trPr>
        <w:tc>
          <w:tcPr>
            <w:tcW w:w="3133" w:type="dxa"/>
            <w:gridSpan w:val="4"/>
            <w:shd w:val="clear" w:color="auto" w:fill="FFFFFF"/>
            <w:vAlign w:val="center"/>
          </w:tcPr>
          <w:p w14:paraId="09D46B00" w14:textId="77777777" w:rsidR="00871FB3" w:rsidRPr="00DC6133" w:rsidRDefault="00871FB3" w:rsidP="00871FB3">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t>budżet państwa</w:t>
            </w:r>
          </w:p>
        </w:tc>
        <w:tc>
          <w:tcPr>
            <w:tcW w:w="569" w:type="dxa"/>
            <w:gridSpan w:val="2"/>
            <w:shd w:val="clear" w:color="auto" w:fill="FFFFFF"/>
          </w:tcPr>
          <w:p w14:paraId="35198B22"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2FFB70AB"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5C1E1760"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69" w:type="dxa"/>
            <w:gridSpan w:val="3"/>
            <w:shd w:val="clear" w:color="auto" w:fill="FFFFFF"/>
          </w:tcPr>
          <w:p w14:paraId="0973B41E"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36D18824"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shd w:val="clear" w:color="auto" w:fill="FFFFFF"/>
          </w:tcPr>
          <w:p w14:paraId="1F608B1F"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3"/>
            <w:shd w:val="clear" w:color="auto" w:fill="FFFFFF"/>
          </w:tcPr>
          <w:p w14:paraId="55C5E706"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69" w:type="dxa"/>
            <w:gridSpan w:val="3"/>
            <w:shd w:val="clear" w:color="auto" w:fill="FFFFFF"/>
          </w:tcPr>
          <w:p w14:paraId="243CA4F4"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4590DAF7"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612D03A7"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16F21A47"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1547" w:type="dxa"/>
            <w:gridSpan w:val="2"/>
            <w:shd w:val="clear" w:color="auto" w:fill="FFFFFF"/>
          </w:tcPr>
          <w:p w14:paraId="60E6CBE4"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r>
      <w:tr w:rsidR="00871FB3" w:rsidRPr="00DC6133" w14:paraId="41DE6ACE" w14:textId="77777777" w:rsidTr="00F555A5">
        <w:trPr>
          <w:trHeight w:val="344"/>
          <w:jc w:val="center"/>
        </w:trPr>
        <w:tc>
          <w:tcPr>
            <w:tcW w:w="3133" w:type="dxa"/>
            <w:gridSpan w:val="4"/>
            <w:shd w:val="clear" w:color="auto" w:fill="FFFFFF"/>
            <w:vAlign w:val="center"/>
          </w:tcPr>
          <w:p w14:paraId="64BBFF39" w14:textId="77777777" w:rsidR="00871FB3" w:rsidRPr="00DC6133" w:rsidRDefault="00871FB3" w:rsidP="00871FB3">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t>JST</w:t>
            </w:r>
          </w:p>
        </w:tc>
        <w:tc>
          <w:tcPr>
            <w:tcW w:w="569" w:type="dxa"/>
            <w:gridSpan w:val="2"/>
            <w:shd w:val="clear" w:color="auto" w:fill="FFFFFF"/>
          </w:tcPr>
          <w:p w14:paraId="1B3B090C"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42D6D4F2"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46B41B9C"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69" w:type="dxa"/>
            <w:gridSpan w:val="3"/>
            <w:shd w:val="clear" w:color="auto" w:fill="FFFFFF"/>
          </w:tcPr>
          <w:p w14:paraId="06940565"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779F9F5F"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shd w:val="clear" w:color="auto" w:fill="FFFFFF"/>
          </w:tcPr>
          <w:p w14:paraId="41B1FBBE"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3"/>
            <w:shd w:val="clear" w:color="auto" w:fill="FFFFFF"/>
          </w:tcPr>
          <w:p w14:paraId="64138828"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69" w:type="dxa"/>
            <w:gridSpan w:val="3"/>
            <w:shd w:val="clear" w:color="auto" w:fill="FFFFFF"/>
          </w:tcPr>
          <w:p w14:paraId="5C5B4218"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34036B36"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0234BDF4"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3C67EA1F"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1547" w:type="dxa"/>
            <w:gridSpan w:val="2"/>
            <w:shd w:val="clear" w:color="auto" w:fill="FFFFFF"/>
          </w:tcPr>
          <w:p w14:paraId="798D6EBE"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r>
      <w:tr w:rsidR="00871FB3" w:rsidRPr="00DC6133" w14:paraId="3FDA45B2" w14:textId="77777777" w:rsidTr="00F555A5">
        <w:trPr>
          <w:trHeight w:val="344"/>
          <w:jc w:val="center"/>
        </w:trPr>
        <w:tc>
          <w:tcPr>
            <w:tcW w:w="3133" w:type="dxa"/>
            <w:gridSpan w:val="4"/>
            <w:shd w:val="clear" w:color="auto" w:fill="FFFFFF"/>
            <w:vAlign w:val="center"/>
          </w:tcPr>
          <w:p w14:paraId="0CB43D60" w14:textId="77777777" w:rsidR="00871FB3" w:rsidRPr="00DC6133" w:rsidRDefault="00871FB3" w:rsidP="00871FB3">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t>pozostałe jednostki (oddzielnie)</w:t>
            </w:r>
          </w:p>
        </w:tc>
        <w:tc>
          <w:tcPr>
            <w:tcW w:w="569" w:type="dxa"/>
            <w:gridSpan w:val="2"/>
            <w:shd w:val="clear" w:color="auto" w:fill="FFFFFF"/>
          </w:tcPr>
          <w:p w14:paraId="79A34BDC"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08A23BC6"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52DBD05A"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69" w:type="dxa"/>
            <w:gridSpan w:val="3"/>
            <w:shd w:val="clear" w:color="auto" w:fill="FFFFFF"/>
          </w:tcPr>
          <w:p w14:paraId="55D4FA17"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668B25AF"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shd w:val="clear" w:color="auto" w:fill="FFFFFF"/>
          </w:tcPr>
          <w:p w14:paraId="0331A8E8"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3"/>
            <w:shd w:val="clear" w:color="auto" w:fill="FFFFFF"/>
          </w:tcPr>
          <w:p w14:paraId="23298933"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69" w:type="dxa"/>
            <w:gridSpan w:val="3"/>
            <w:shd w:val="clear" w:color="auto" w:fill="FFFFFF"/>
          </w:tcPr>
          <w:p w14:paraId="0B8136DC"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77224B6B"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79B43C3B"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1277A716"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1547" w:type="dxa"/>
            <w:gridSpan w:val="2"/>
            <w:shd w:val="clear" w:color="auto" w:fill="FFFFFF"/>
          </w:tcPr>
          <w:p w14:paraId="1351B004"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r>
      <w:tr w:rsidR="00871FB3" w:rsidRPr="00DC6133" w14:paraId="2770D140" w14:textId="77777777" w:rsidTr="00F555A5">
        <w:trPr>
          <w:trHeight w:val="330"/>
          <w:jc w:val="center"/>
        </w:trPr>
        <w:tc>
          <w:tcPr>
            <w:tcW w:w="3133" w:type="dxa"/>
            <w:gridSpan w:val="4"/>
            <w:shd w:val="clear" w:color="auto" w:fill="FFFFFF"/>
            <w:vAlign w:val="center"/>
          </w:tcPr>
          <w:p w14:paraId="33B09901" w14:textId="77777777" w:rsidR="00871FB3" w:rsidRPr="00DC6133" w:rsidRDefault="00871FB3" w:rsidP="00871FB3">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b/>
                <w:color w:val="000000"/>
              </w:rPr>
              <w:t>Wydatki ogółem</w:t>
            </w:r>
          </w:p>
        </w:tc>
        <w:tc>
          <w:tcPr>
            <w:tcW w:w="569" w:type="dxa"/>
            <w:gridSpan w:val="2"/>
            <w:shd w:val="clear" w:color="auto" w:fill="FFFFFF"/>
          </w:tcPr>
          <w:p w14:paraId="18EA7EF4"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771503F8"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7C463D2C"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69" w:type="dxa"/>
            <w:gridSpan w:val="3"/>
            <w:shd w:val="clear" w:color="auto" w:fill="FFFFFF"/>
          </w:tcPr>
          <w:p w14:paraId="2DA5B965"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49C62DA2"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shd w:val="clear" w:color="auto" w:fill="FFFFFF"/>
          </w:tcPr>
          <w:p w14:paraId="52D186CD"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3"/>
            <w:shd w:val="clear" w:color="auto" w:fill="FFFFFF"/>
          </w:tcPr>
          <w:p w14:paraId="4B2D5657"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69" w:type="dxa"/>
            <w:gridSpan w:val="3"/>
            <w:shd w:val="clear" w:color="auto" w:fill="FFFFFF"/>
          </w:tcPr>
          <w:p w14:paraId="255628B7"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7564B78A"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33E218C7"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03DD56A6"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1547" w:type="dxa"/>
            <w:gridSpan w:val="2"/>
            <w:shd w:val="clear" w:color="auto" w:fill="FFFFFF"/>
          </w:tcPr>
          <w:p w14:paraId="5D51D54D"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r>
      <w:tr w:rsidR="00871FB3" w:rsidRPr="00DC6133" w14:paraId="7E84A01E" w14:textId="77777777" w:rsidTr="00F555A5">
        <w:trPr>
          <w:trHeight w:val="330"/>
          <w:jc w:val="center"/>
        </w:trPr>
        <w:tc>
          <w:tcPr>
            <w:tcW w:w="3133" w:type="dxa"/>
            <w:gridSpan w:val="4"/>
            <w:shd w:val="clear" w:color="auto" w:fill="FFFFFF"/>
            <w:vAlign w:val="center"/>
          </w:tcPr>
          <w:p w14:paraId="2E185BC5" w14:textId="77777777" w:rsidR="00871FB3" w:rsidRPr="00DC6133" w:rsidRDefault="00871FB3" w:rsidP="00871FB3">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t>budżet państwa</w:t>
            </w:r>
          </w:p>
        </w:tc>
        <w:tc>
          <w:tcPr>
            <w:tcW w:w="569" w:type="dxa"/>
            <w:gridSpan w:val="2"/>
            <w:shd w:val="clear" w:color="auto" w:fill="FFFFFF"/>
          </w:tcPr>
          <w:p w14:paraId="77854E09"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500F9552"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00E053EB"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69" w:type="dxa"/>
            <w:gridSpan w:val="3"/>
            <w:shd w:val="clear" w:color="auto" w:fill="FFFFFF"/>
          </w:tcPr>
          <w:p w14:paraId="39000BC7"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51D0ADFB"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shd w:val="clear" w:color="auto" w:fill="FFFFFF"/>
          </w:tcPr>
          <w:p w14:paraId="4DAF4F93"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3"/>
            <w:shd w:val="clear" w:color="auto" w:fill="FFFFFF"/>
          </w:tcPr>
          <w:p w14:paraId="598C88A0"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69" w:type="dxa"/>
            <w:gridSpan w:val="3"/>
            <w:shd w:val="clear" w:color="auto" w:fill="FFFFFF"/>
          </w:tcPr>
          <w:p w14:paraId="7F62543D"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7A469A7F"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01A20189"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3F21A0F0"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1547" w:type="dxa"/>
            <w:gridSpan w:val="2"/>
            <w:shd w:val="clear" w:color="auto" w:fill="FFFFFF"/>
          </w:tcPr>
          <w:p w14:paraId="0827EB90"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r>
      <w:tr w:rsidR="00871FB3" w:rsidRPr="00DC6133" w14:paraId="5E9F7DCA" w14:textId="77777777" w:rsidTr="00F555A5">
        <w:trPr>
          <w:trHeight w:val="351"/>
          <w:jc w:val="center"/>
        </w:trPr>
        <w:tc>
          <w:tcPr>
            <w:tcW w:w="3133" w:type="dxa"/>
            <w:gridSpan w:val="4"/>
            <w:shd w:val="clear" w:color="auto" w:fill="FFFFFF"/>
            <w:vAlign w:val="center"/>
          </w:tcPr>
          <w:p w14:paraId="40FF9091" w14:textId="77777777" w:rsidR="00871FB3" w:rsidRPr="00DC6133" w:rsidRDefault="00871FB3" w:rsidP="00871FB3">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t>JST</w:t>
            </w:r>
          </w:p>
        </w:tc>
        <w:tc>
          <w:tcPr>
            <w:tcW w:w="569" w:type="dxa"/>
            <w:gridSpan w:val="2"/>
            <w:shd w:val="clear" w:color="auto" w:fill="FFFFFF"/>
          </w:tcPr>
          <w:p w14:paraId="2759D348"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3C0B4B5F"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185749AA"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69" w:type="dxa"/>
            <w:gridSpan w:val="3"/>
            <w:shd w:val="clear" w:color="auto" w:fill="FFFFFF"/>
          </w:tcPr>
          <w:p w14:paraId="67B1C38A"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29A77B99"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shd w:val="clear" w:color="auto" w:fill="FFFFFF"/>
          </w:tcPr>
          <w:p w14:paraId="193D56BB"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3"/>
            <w:shd w:val="clear" w:color="auto" w:fill="FFFFFF"/>
          </w:tcPr>
          <w:p w14:paraId="6134F59C"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69" w:type="dxa"/>
            <w:gridSpan w:val="3"/>
            <w:shd w:val="clear" w:color="auto" w:fill="FFFFFF"/>
          </w:tcPr>
          <w:p w14:paraId="47BF4BEC"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10D065F1"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25E393C9"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26A95991"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1547" w:type="dxa"/>
            <w:gridSpan w:val="2"/>
            <w:shd w:val="clear" w:color="auto" w:fill="FFFFFF"/>
          </w:tcPr>
          <w:p w14:paraId="49DDD775"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r>
      <w:tr w:rsidR="00871FB3" w:rsidRPr="00DC6133" w14:paraId="2DD04CF3" w14:textId="77777777" w:rsidTr="00F555A5">
        <w:trPr>
          <w:trHeight w:val="351"/>
          <w:jc w:val="center"/>
        </w:trPr>
        <w:tc>
          <w:tcPr>
            <w:tcW w:w="3133" w:type="dxa"/>
            <w:gridSpan w:val="4"/>
            <w:shd w:val="clear" w:color="auto" w:fill="FFFFFF"/>
            <w:vAlign w:val="center"/>
          </w:tcPr>
          <w:p w14:paraId="27A9A9DE" w14:textId="77777777" w:rsidR="00871FB3" w:rsidRPr="00DC6133" w:rsidRDefault="00871FB3" w:rsidP="00871FB3">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t>pozostałe jednostki (oddzielnie)</w:t>
            </w:r>
          </w:p>
        </w:tc>
        <w:tc>
          <w:tcPr>
            <w:tcW w:w="569" w:type="dxa"/>
            <w:gridSpan w:val="2"/>
            <w:shd w:val="clear" w:color="auto" w:fill="FFFFFF"/>
          </w:tcPr>
          <w:p w14:paraId="32E66A50"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4C894F89"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4ABD17C1"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69" w:type="dxa"/>
            <w:gridSpan w:val="3"/>
            <w:shd w:val="clear" w:color="auto" w:fill="FFFFFF"/>
          </w:tcPr>
          <w:p w14:paraId="534530E9"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207246C5"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shd w:val="clear" w:color="auto" w:fill="FFFFFF"/>
          </w:tcPr>
          <w:p w14:paraId="5B11AB29"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3"/>
            <w:shd w:val="clear" w:color="auto" w:fill="FFFFFF"/>
          </w:tcPr>
          <w:p w14:paraId="4FE03B8E"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69" w:type="dxa"/>
            <w:gridSpan w:val="3"/>
            <w:shd w:val="clear" w:color="auto" w:fill="FFFFFF"/>
          </w:tcPr>
          <w:p w14:paraId="6859937F"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4F7C51F7"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6F6160F8"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05D20E0C"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1547" w:type="dxa"/>
            <w:gridSpan w:val="2"/>
            <w:shd w:val="clear" w:color="auto" w:fill="FFFFFF"/>
          </w:tcPr>
          <w:p w14:paraId="667190E3"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r>
      <w:tr w:rsidR="00871FB3" w:rsidRPr="00DC6133" w14:paraId="47095865" w14:textId="77777777" w:rsidTr="00F555A5">
        <w:trPr>
          <w:trHeight w:val="360"/>
          <w:jc w:val="center"/>
        </w:trPr>
        <w:tc>
          <w:tcPr>
            <w:tcW w:w="3133" w:type="dxa"/>
            <w:gridSpan w:val="4"/>
            <w:shd w:val="clear" w:color="auto" w:fill="FFFFFF"/>
            <w:vAlign w:val="center"/>
          </w:tcPr>
          <w:p w14:paraId="2B24E31D" w14:textId="77777777" w:rsidR="00871FB3" w:rsidRPr="00DC6133" w:rsidRDefault="00871FB3" w:rsidP="00871FB3">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b/>
                <w:color w:val="000000"/>
              </w:rPr>
              <w:t>Saldo ogółem</w:t>
            </w:r>
          </w:p>
        </w:tc>
        <w:tc>
          <w:tcPr>
            <w:tcW w:w="569" w:type="dxa"/>
            <w:gridSpan w:val="2"/>
            <w:shd w:val="clear" w:color="auto" w:fill="FFFFFF"/>
          </w:tcPr>
          <w:p w14:paraId="4129AB66"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76A1360D"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21A3944D"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69" w:type="dxa"/>
            <w:gridSpan w:val="3"/>
            <w:shd w:val="clear" w:color="auto" w:fill="FFFFFF"/>
          </w:tcPr>
          <w:p w14:paraId="1B7CFFF4"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2573ED0A"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shd w:val="clear" w:color="auto" w:fill="FFFFFF"/>
          </w:tcPr>
          <w:p w14:paraId="6B59515A"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3"/>
            <w:shd w:val="clear" w:color="auto" w:fill="FFFFFF"/>
          </w:tcPr>
          <w:p w14:paraId="5C92D6CA"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69" w:type="dxa"/>
            <w:gridSpan w:val="3"/>
            <w:shd w:val="clear" w:color="auto" w:fill="FFFFFF"/>
          </w:tcPr>
          <w:p w14:paraId="0846EF35"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24538658"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33559963"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75EA4660"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1547" w:type="dxa"/>
            <w:gridSpan w:val="2"/>
            <w:shd w:val="clear" w:color="auto" w:fill="FFFFFF"/>
          </w:tcPr>
          <w:p w14:paraId="379AC1CB"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r>
      <w:tr w:rsidR="00871FB3" w:rsidRPr="00DC6133" w14:paraId="4BFF10DB" w14:textId="77777777" w:rsidTr="00F555A5">
        <w:trPr>
          <w:trHeight w:val="360"/>
          <w:jc w:val="center"/>
        </w:trPr>
        <w:tc>
          <w:tcPr>
            <w:tcW w:w="3133" w:type="dxa"/>
            <w:gridSpan w:val="4"/>
            <w:shd w:val="clear" w:color="auto" w:fill="FFFFFF"/>
            <w:vAlign w:val="center"/>
          </w:tcPr>
          <w:p w14:paraId="4C90F7C0" w14:textId="77777777" w:rsidR="00871FB3" w:rsidRPr="00DC6133" w:rsidRDefault="00871FB3" w:rsidP="00871FB3">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t>budżet państwa</w:t>
            </w:r>
          </w:p>
        </w:tc>
        <w:tc>
          <w:tcPr>
            <w:tcW w:w="569" w:type="dxa"/>
            <w:gridSpan w:val="2"/>
            <w:shd w:val="clear" w:color="auto" w:fill="FFFFFF"/>
          </w:tcPr>
          <w:p w14:paraId="707D7184"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1778BCF5"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0DF5BAFB"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69" w:type="dxa"/>
            <w:gridSpan w:val="3"/>
            <w:shd w:val="clear" w:color="auto" w:fill="FFFFFF"/>
          </w:tcPr>
          <w:p w14:paraId="2712D699"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18BF73E4"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shd w:val="clear" w:color="auto" w:fill="FFFFFF"/>
          </w:tcPr>
          <w:p w14:paraId="03CDB02C"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3"/>
            <w:shd w:val="clear" w:color="auto" w:fill="FFFFFF"/>
          </w:tcPr>
          <w:p w14:paraId="04EC4042"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69" w:type="dxa"/>
            <w:gridSpan w:val="3"/>
            <w:shd w:val="clear" w:color="auto" w:fill="FFFFFF"/>
          </w:tcPr>
          <w:p w14:paraId="7669E742"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57D9D386"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5A94A1F5"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13160B86"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1547" w:type="dxa"/>
            <w:gridSpan w:val="2"/>
            <w:shd w:val="clear" w:color="auto" w:fill="FFFFFF"/>
          </w:tcPr>
          <w:p w14:paraId="4FC4CD26"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r>
      <w:tr w:rsidR="00871FB3" w:rsidRPr="00DC6133" w14:paraId="6BC3CD95" w14:textId="77777777" w:rsidTr="00F555A5">
        <w:trPr>
          <w:trHeight w:val="357"/>
          <w:jc w:val="center"/>
        </w:trPr>
        <w:tc>
          <w:tcPr>
            <w:tcW w:w="3133" w:type="dxa"/>
            <w:gridSpan w:val="4"/>
            <w:shd w:val="clear" w:color="auto" w:fill="FFFFFF"/>
            <w:vAlign w:val="center"/>
          </w:tcPr>
          <w:p w14:paraId="13368A89" w14:textId="77777777" w:rsidR="00871FB3" w:rsidRPr="00DC6133" w:rsidRDefault="00871FB3" w:rsidP="00871FB3">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t>JST</w:t>
            </w:r>
          </w:p>
        </w:tc>
        <w:tc>
          <w:tcPr>
            <w:tcW w:w="569" w:type="dxa"/>
            <w:gridSpan w:val="2"/>
            <w:shd w:val="clear" w:color="auto" w:fill="FFFFFF"/>
          </w:tcPr>
          <w:p w14:paraId="2E6D6F9B"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375F4BE0"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5DEE9D8D"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69" w:type="dxa"/>
            <w:gridSpan w:val="3"/>
            <w:shd w:val="clear" w:color="auto" w:fill="FFFFFF"/>
          </w:tcPr>
          <w:p w14:paraId="261F0783"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0F6FE58A"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shd w:val="clear" w:color="auto" w:fill="FFFFFF"/>
          </w:tcPr>
          <w:p w14:paraId="52C59468"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3"/>
            <w:shd w:val="clear" w:color="auto" w:fill="FFFFFF"/>
          </w:tcPr>
          <w:p w14:paraId="00DB393E"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69" w:type="dxa"/>
            <w:gridSpan w:val="3"/>
            <w:shd w:val="clear" w:color="auto" w:fill="FFFFFF"/>
          </w:tcPr>
          <w:p w14:paraId="752FC2BB"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444E7D84"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12320075"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23483144"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1547" w:type="dxa"/>
            <w:gridSpan w:val="2"/>
            <w:shd w:val="clear" w:color="auto" w:fill="FFFFFF"/>
          </w:tcPr>
          <w:p w14:paraId="2396D05A"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r>
      <w:tr w:rsidR="00871FB3" w:rsidRPr="00DC6133" w14:paraId="415B9D3D" w14:textId="77777777" w:rsidTr="00F555A5">
        <w:trPr>
          <w:trHeight w:val="357"/>
          <w:jc w:val="center"/>
        </w:trPr>
        <w:tc>
          <w:tcPr>
            <w:tcW w:w="3133" w:type="dxa"/>
            <w:gridSpan w:val="4"/>
            <w:shd w:val="clear" w:color="auto" w:fill="FFFFFF"/>
            <w:vAlign w:val="center"/>
          </w:tcPr>
          <w:p w14:paraId="51B2B282" w14:textId="77777777" w:rsidR="00871FB3" w:rsidRPr="00DC6133" w:rsidRDefault="00871FB3" w:rsidP="00871FB3">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t>pozostałe jednostki (oddzielnie)</w:t>
            </w:r>
          </w:p>
        </w:tc>
        <w:tc>
          <w:tcPr>
            <w:tcW w:w="569" w:type="dxa"/>
            <w:gridSpan w:val="2"/>
            <w:shd w:val="clear" w:color="auto" w:fill="FFFFFF"/>
          </w:tcPr>
          <w:p w14:paraId="4F76F5EC"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21C550A1"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29B2E790"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69" w:type="dxa"/>
            <w:gridSpan w:val="3"/>
            <w:shd w:val="clear" w:color="auto" w:fill="FFFFFF"/>
          </w:tcPr>
          <w:p w14:paraId="4F6A4632"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3B13BF8F"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shd w:val="clear" w:color="auto" w:fill="FFFFFF"/>
          </w:tcPr>
          <w:p w14:paraId="7FA8B127"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3"/>
            <w:shd w:val="clear" w:color="auto" w:fill="FFFFFF"/>
          </w:tcPr>
          <w:p w14:paraId="05A12E11"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69" w:type="dxa"/>
            <w:gridSpan w:val="3"/>
            <w:shd w:val="clear" w:color="auto" w:fill="FFFFFF"/>
          </w:tcPr>
          <w:p w14:paraId="1370F042"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6EBDE2A6"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05ACEFDF"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570" w:type="dxa"/>
            <w:gridSpan w:val="2"/>
            <w:shd w:val="clear" w:color="auto" w:fill="FFFFFF"/>
          </w:tcPr>
          <w:p w14:paraId="567AF156"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c>
          <w:tcPr>
            <w:tcW w:w="1547" w:type="dxa"/>
            <w:gridSpan w:val="2"/>
            <w:shd w:val="clear" w:color="auto" w:fill="FFFFFF"/>
          </w:tcPr>
          <w:p w14:paraId="45895A57"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color w:val="000000"/>
              </w:rPr>
              <w:t>0</w:t>
            </w:r>
          </w:p>
        </w:tc>
      </w:tr>
      <w:tr w:rsidR="00871FB3" w:rsidRPr="00DC6133" w14:paraId="05AECBFE" w14:textId="77777777" w:rsidTr="00F555A5">
        <w:trPr>
          <w:gridAfter w:val="1"/>
          <w:wAfter w:w="10" w:type="dxa"/>
          <w:trHeight w:val="348"/>
          <w:jc w:val="center"/>
        </w:trPr>
        <w:tc>
          <w:tcPr>
            <w:tcW w:w="2243" w:type="dxa"/>
            <w:gridSpan w:val="2"/>
            <w:shd w:val="clear" w:color="auto" w:fill="FFFFFF"/>
            <w:vAlign w:val="center"/>
          </w:tcPr>
          <w:p w14:paraId="72ABFAA2" w14:textId="77777777" w:rsidR="00871FB3" w:rsidRPr="00DC6133" w:rsidRDefault="00871FB3" w:rsidP="00871FB3">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t xml:space="preserve">Źródła finansowania </w:t>
            </w:r>
          </w:p>
        </w:tc>
        <w:tc>
          <w:tcPr>
            <w:tcW w:w="8694" w:type="dxa"/>
            <w:gridSpan w:val="27"/>
            <w:shd w:val="clear" w:color="auto" w:fill="FFFFFF"/>
            <w:vAlign w:val="center"/>
          </w:tcPr>
          <w:p w14:paraId="4ABB1203" w14:textId="77777777" w:rsidR="00871FB3" w:rsidRPr="00DC6133" w:rsidRDefault="00871FB3" w:rsidP="00871FB3">
            <w:pPr>
              <w:spacing w:before="60" w:after="60" w:line="240" w:lineRule="auto"/>
              <w:jc w:val="both"/>
              <w:rPr>
                <w:rFonts w:ascii="Times New Roman" w:eastAsia="Calibri" w:hAnsi="Times New Roman" w:cs="Times New Roman"/>
                <w:color w:val="000000"/>
              </w:rPr>
            </w:pPr>
            <w:r w:rsidRPr="00DC6133">
              <w:rPr>
                <w:rFonts w:ascii="Times New Roman" w:eastAsia="Calibri" w:hAnsi="Times New Roman" w:cs="Times New Roman"/>
                <w:color w:val="000000"/>
              </w:rPr>
              <w:t>Nie dotyczy</w:t>
            </w:r>
          </w:p>
        </w:tc>
      </w:tr>
      <w:tr w:rsidR="00871FB3" w:rsidRPr="00DC6133" w14:paraId="44E782AA" w14:textId="77777777" w:rsidTr="00F555A5">
        <w:trPr>
          <w:gridAfter w:val="1"/>
          <w:wAfter w:w="10" w:type="dxa"/>
          <w:trHeight w:val="1926"/>
          <w:jc w:val="center"/>
        </w:trPr>
        <w:tc>
          <w:tcPr>
            <w:tcW w:w="2243" w:type="dxa"/>
            <w:gridSpan w:val="2"/>
            <w:shd w:val="clear" w:color="auto" w:fill="FFFFFF"/>
          </w:tcPr>
          <w:p w14:paraId="1DD48D04" w14:textId="77777777" w:rsidR="00871FB3" w:rsidRPr="00DC6133" w:rsidRDefault="00871FB3" w:rsidP="00871FB3">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lastRenderedPageBreak/>
              <w:t>Dodatkowe informacje, w tym wskazanie źródeł danych i przyjętych do obliczeń założeń</w:t>
            </w:r>
          </w:p>
        </w:tc>
        <w:tc>
          <w:tcPr>
            <w:tcW w:w="8694" w:type="dxa"/>
            <w:gridSpan w:val="27"/>
            <w:shd w:val="clear" w:color="auto" w:fill="FFFFFF"/>
          </w:tcPr>
          <w:p w14:paraId="3F732183" w14:textId="1BF9E20D" w:rsidR="003F05FF" w:rsidRPr="003F05FF" w:rsidRDefault="003F05FF" w:rsidP="003F05FF">
            <w:pPr>
              <w:spacing w:before="120" w:after="60" w:line="240" w:lineRule="auto"/>
              <w:jc w:val="both"/>
              <w:rPr>
                <w:rFonts w:ascii="Times New Roman" w:eastAsia="Calibri" w:hAnsi="Times New Roman" w:cs="Times New Roman"/>
                <w:color w:val="000000"/>
              </w:rPr>
            </w:pPr>
            <w:r w:rsidRPr="003F05FF">
              <w:rPr>
                <w:rFonts w:ascii="Times New Roman" w:eastAsia="Calibri" w:hAnsi="Times New Roman" w:cs="Times New Roman"/>
                <w:color w:val="000000"/>
              </w:rPr>
              <w:t>Nie przewiduje się wpływu projektowanego rozporządzenia na sektor finansów publicznych.</w:t>
            </w:r>
          </w:p>
          <w:p w14:paraId="3F874ED1" w14:textId="0D562AB4" w:rsidR="00871FB3" w:rsidRPr="00DC6133" w:rsidRDefault="003F05FF" w:rsidP="003F05FF">
            <w:pPr>
              <w:spacing w:before="120" w:after="60" w:line="240" w:lineRule="auto"/>
              <w:jc w:val="both"/>
              <w:rPr>
                <w:rFonts w:ascii="Times New Roman" w:eastAsia="Calibri" w:hAnsi="Times New Roman" w:cs="Times New Roman"/>
                <w:color w:val="000000"/>
              </w:rPr>
            </w:pPr>
            <w:r w:rsidRPr="003F05FF">
              <w:rPr>
                <w:rFonts w:ascii="Times New Roman" w:eastAsia="Calibri" w:hAnsi="Times New Roman" w:cs="Times New Roman"/>
                <w:color w:val="000000"/>
              </w:rPr>
              <w:t>UWAGA: Należy mieć na względzie, że wymóg przeprowadzania testów z zakresu kontroli parametrów fizycznych urządzeń radiologicznych ma charakter ustawowy i nie jest</w:t>
            </w:r>
            <w:r w:rsidR="006A322C">
              <w:rPr>
                <w:rFonts w:ascii="Times New Roman" w:eastAsia="Calibri" w:hAnsi="Times New Roman" w:cs="Times New Roman"/>
                <w:color w:val="000000"/>
              </w:rPr>
              <w:t xml:space="preserve"> nowym wymogiem</w:t>
            </w:r>
            <w:r w:rsidRPr="003F05FF">
              <w:rPr>
                <w:rFonts w:ascii="Times New Roman" w:eastAsia="Calibri" w:hAnsi="Times New Roman" w:cs="Times New Roman"/>
                <w:color w:val="000000"/>
              </w:rPr>
              <w:t>. Wymóg kontroli urządzeń radiologicznych ustanowiono bowiem już w dotychczas obowiązującej ustawie w art. 33c ust. 7 (po nowelizacji ustawy zmieniła się zatem tylko podstawa do wykonywania takich testów – jest nią aktualnie art. 33l ust. 1). Wymóg przeprowadzania ww. kontroli dotyczy również jednostek sektora finansów publicznych, które będąc zobowiązane do zapewnienia kontroli parametrów fizycznych stosowanych przez nie urządzeń radiologicznych nadal ponosić będą koszty przeprowadzania testów takich urządzeń przez określone w ustawie podmioty (w przypadku testów eksploatacyjnych w radioterapii oraz testów specjalistycznych są to podmioty akredytowane w rozumieniu ustawy o systemach oceny zgodności i nadzoru rynku; w przypadku spełnienia pewnych warunków przez jednostkę ochrony zdrowia podmiotem uprawnionym do wykonania testów mogą być również zatrudnieni w jednostce specjaliści w dziedzinie fizyki medycznej lub inżynierii medycznej). W konsekwencji, wskazany w pkt 6 brak wpływu na sektor finansów publicznych (brak kosztów z tego tytułu) należy rozumieć w ten sposób, że z tytułu określonego w projektowanym rozporządzeniu zakresu testów nie powstają bezpośrednie konsekwencje finansowe. Należy jednakże zauważyć, że w sytuacji utrzymania przez nowelizację ustawy – Prawo atomowe wymogu przeprowadzania kontroli parametrów fizycznych urządzeń radiologicznych (testów), dotychczas ponoszone przez jednostki (w tym jednostki sektora finansów publicznych) koszty przeprowadzania testów będą musiały być przez te jednostki ponoszone nadal.</w:t>
            </w:r>
          </w:p>
        </w:tc>
      </w:tr>
      <w:tr w:rsidR="00871FB3" w:rsidRPr="00DC6133" w14:paraId="2AF01A74" w14:textId="77777777" w:rsidTr="00F555A5">
        <w:trPr>
          <w:gridAfter w:val="1"/>
          <w:wAfter w:w="10" w:type="dxa"/>
          <w:trHeight w:val="345"/>
          <w:jc w:val="center"/>
        </w:trPr>
        <w:tc>
          <w:tcPr>
            <w:tcW w:w="10937" w:type="dxa"/>
            <w:gridSpan w:val="29"/>
            <w:shd w:val="clear" w:color="auto" w:fill="99CCFF"/>
          </w:tcPr>
          <w:p w14:paraId="008C8C54" w14:textId="77777777" w:rsidR="00871FB3" w:rsidRPr="00DC6133" w:rsidRDefault="00871FB3" w:rsidP="00871FB3">
            <w:pPr>
              <w:numPr>
                <w:ilvl w:val="0"/>
                <w:numId w:val="1"/>
              </w:numPr>
              <w:spacing w:before="60" w:after="60" w:line="240" w:lineRule="auto"/>
              <w:ind w:left="318" w:hanging="284"/>
              <w:jc w:val="both"/>
              <w:rPr>
                <w:rFonts w:ascii="Times New Roman" w:eastAsia="Calibri" w:hAnsi="Times New Roman" w:cs="Times New Roman"/>
                <w:b/>
                <w:color w:val="000000"/>
              </w:rPr>
            </w:pPr>
            <w:r w:rsidRPr="00DC6133">
              <w:rPr>
                <w:rFonts w:ascii="Times New Roman" w:eastAsia="Calibri" w:hAnsi="Times New Roman" w:cs="Times New Roman"/>
                <w:b/>
                <w:color w:val="000000"/>
              </w:rPr>
              <w:t xml:space="preserve">Wpływ na konkurencyjność gospodarki i przedsiębiorczość, w tym funkcjonowanie przedsiębiorców oraz na rodzinę, obywateli i gospodarstwa domowe </w:t>
            </w:r>
          </w:p>
        </w:tc>
      </w:tr>
      <w:tr w:rsidR="00871FB3" w:rsidRPr="00DC6133" w14:paraId="50953FA4" w14:textId="77777777" w:rsidTr="00F555A5">
        <w:trPr>
          <w:gridAfter w:val="1"/>
          <w:wAfter w:w="10" w:type="dxa"/>
          <w:trHeight w:val="142"/>
          <w:jc w:val="center"/>
        </w:trPr>
        <w:tc>
          <w:tcPr>
            <w:tcW w:w="10937" w:type="dxa"/>
            <w:gridSpan w:val="29"/>
            <w:shd w:val="clear" w:color="auto" w:fill="FFFFFF"/>
          </w:tcPr>
          <w:p w14:paraId="5833A6DD" w14:textId="77777777" w:rsidR="00871FB3" w:rsidRPr="00DC6133" w:rsidRDefault="00871FB3" w:rsidP="00871FB3">
            <w:pPr>
              <w:spacing w:before="60" w:after="60" w:line="240" w:lineRule="auto"/>
              <w:jc w:val="center"/>
              <w:rPr>
                <w:rFonts w:ascii="Times New Roman" w:eastAsia="Calibri" w:hAnsi="Times New Roman" w:cs="Times New Roman"/>
                <w:color w:val="000000"/>
              </w:rPr>
            </w:pPr>
            <w:r w:rsidRPr="00DC6133">
              <w:rPr>
                <w:rFonts w:ascii="Times New Roman" w:eastAsia="Calibri" w:hAnsi="Times New Roman" w:cs="Times New Roman"/>
                <w:color w:val="000000"/>
              </w:rPr>
              <w:t>Skutki</w:t>
            </w:r>
          </w:p>
        </w:tc>
      </w:tr>
      <w:tr w:rsidR="00871FB3" w:rsidRPr="00DC6133" w14:paraId="00B4D7F9" w14:textId="77777777" w:rsidTr="00F555A5">
        <w:trPr>
          <w:gridAfter w:val="1"/>
          <w:wAfter w:w="10" w:type="dxa"/>
          <w:trHeight w:val="142"/>
          <w:jc w:val="center"/>
        </w:trPr>
        <w:tc>
          <w:tcPr>
            <w:tcW w:w="3889" w:type="dxa"/>
            <w:gridSpan w:val="7"/>
            <w:shd w:val="clear" w:color="auto" w:fill="FFFFFF"/>
          </w:tcPr>
          <w:p w14:paraId="08B76686" w14:textId="77777777" w:rsidR="00871FB3" w:rsidRPr="00DC6133" w:rsidRDefault="00871FB3" w:rsidP="00871FB3">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t>Czas w latach od wejścia w życie zmian</w:t>
            </w:r>
          </w:p>
        </w:tc>
        <w:tc>
          <w:tcPr>
            <w:tcW w:w="907" w:type="dxa"/>
            <w:gridSpan w:val="2"/>
            <w:shd w:val="clear" w:color="auto" w:fill="FFFFFF"/>
          </w:tcPr>
          <w:p w14:paraId="7EE4E463" w14:textId="77777777" w:rsidR="00871FB3" w:rsidRPr="00DC6133" w:rsidRDefault="00871FB3" w:rsidP="00871FB3">
            <w:pPr>
              <w:spacing w:before="60" w:after="60" w:line="240" w:lineRule="auto"/>
              <w:jc w:val="center"/>
              <w:rPr>
                <w:rFonts w:ascii="Times New Roman" w:eastAsia="Calibri" w:hAnsi="Times New Roman" w:cs="Times New Roman"/>
                <w:color w:val="000000"/>
              </w:rPr>
            </w:pPr>
            <w:r w:rsidRPr="00DC6133">
              <w:rPr>
                <w:rFonts w:ascii="Times New Roman" w:eastAsia="Calibri" w:hAnsi="Times New Roman" w:cs="Times New Roman"/>
                <w:color w:val="000000"/>
              </w:rPr>
              <w:t>0</w:t>
            </w:r>
          </w:p>
        </w:tc>
        <w:tc>
          <w:tcPr>
            <w:tcW w:w="907" w:type="dxa"/>
            <w:gridSpan w:val="5"/>
            <w:shd w:val="clear" w:color="auto" w:fill="FFFFFF"/>
          </w:tcPr>
          <w:p w14:paraId="2E1AB5A2" w14:textId="77777777" w:rsidR="00871FB3" w:rsidRPr="00DC6133" w:rsidRDefault="00871FB3" w:rsidP="00871FB3">
            <w:pPr>
              <w:spacing w:before="60" w:after="60" w:line="240" w:lineRule="auto"/>
              <w:jc w:val="center"/>
              <w:rPr>
                <w:rFonts w:ascii="Times New Roman" w:eastAsia="Calibri" w:hAnsi="Times New Roman" w:cs="Times New Roman"/>
                <w:color w:val="000000"/>
              </w:rPr>
            </w:pPr>
            <w:r w:rsidRPr="00DC6133">
              <w:rPr>
                <w:rFonts w:ascii="Times New Roman" w:eastAsia="Calibri" w:hAnsi="Times New Roman" w:cs="Times New Roman"/>
                <w:color w:val="000000"/>
              </w:rPr>
              <w:t>1</w:t>
            </w:r>
          </w:p>
        </w:tc>
        <w:tc>
          <w:tcPr>
            <w:tcW w:w="908" w:type="dxa"/>
            <w:gridSpan w:val="3"/>
            <w:shd w:val="clear" w:color="auto" w:fill="FFFFFF"/>
          </w:tcPr>
          <w:p w14:paraId="51B6D181" w14:textId="77777777" w:rsidR="00871FB3" w:rsidRPr="00DC6133" w:rsidRDefault="00871FB3" w:rsidP="00871FB3">
            <w:pPr>
              <w:spacing w:before="60" w:after="60" w:line="240" w:lineRule="auto"/>
              <w:jc w:val="center"/>
              <w:rPr>
                <w:rFonts w:ascii="Times New Roman" w:eastAsia="Calibri" w:hAnsi="Times New Roman" w:cs="Times New Roman"/>
                <w:color w:val="000000"/>
              </w:rPr>
            </w:pPr>
            <w:r w:rsidRPr="00DC6133">
              <w:rPr>
                <w:rFonts w:ascii="Times New Roman" w:eastAsia="Calibri" w:hAnsi="Times New Roman" w:cs="Times New Roman"/>
                <w:color w:val="000000"/>
              </w:rPr>
              <w:t>2</w:t>
            </w:r>
          </w:p>
        </w:tc>
        <w:tc>
          <w:tcPr>
            <w:tcW w:w="907" w:type="dxa"/>
            <w:gridSpan w:val="4"/>
            <w:shd w:val="clear" w:color="auto" w:fill="FFFFFF"/>
          </w:tcPr>
          <w:p w14:paraId="6D9030E8" w14:textId="77777777" w:rsidR="00871FB3" w:rsidRPr="00DC6133" w:rsidRDefault="00871FB3" w:rsidP="00871FB3">
            <w:pPr>
              <w:spacing w:before="60" w:after="60" w:line="240" w:lineRule="auto"/>
              <w:jc w:val="center"/>
              <w:rPr>
                <w:rFonts w:ascii="Times New Roman" w:eastAsia="Calibri" w:hAnsi="Times New Roman" w:cs="Times New Roman"/>
                <w:color w:val="000000"/>
              </w:rPr>
            </w:pPr>
            <w:r w:rsidRPr="00DC6133">
              <w:rPr>
                <w:rFonts w:ascii="Times New Roman" w:eastAsia="Calibri" w:hAnsi="Times New Roman" w:cs="Times New Roman"/>
                <w:color w:val="000000"/>
              </w:rPr>
              <w:t>3</w:t>
            </w:r>
          </w:p>
        </w:tc>
        <w:tc>
          <w:tcPr>
            <w:tcW w:w="907" w:type="dxa"/>
            <w:gridSpan w:val="4"/>
            <w:shd w:val="clear" w:color="auto" w:fill="FFFFFF"/>
          </w:tcPr>
          <w:p w14:paraId="4FB11576" w14:textId="77777777" w:rsidR="00871FB3" w:rsidRPr="00DC6133" w:rsidRDefault="00871FB3" w:rsidP="00871FB3">
            <w:pPr>
              <w:spacing w:before="60" w:after="60" w:line="240" w:lineRule="auto"/>
              <w:jc w:val="center"/>
              <w:rPr>
                <w:rFonts w:ascii="Times New Roman" w:eastAsia="Calibri" w:hAnsi="Times New Roman" w:cs="Times New Roman"/>
                <w:color w:val="000000"/>
              </w:rPr>
            </w:pPr>
            <w:r w:rsidRPr="00DC6133">
              <w:rPr>
                <w:rFonts w:ascii="Times New Roman" w:eastAsia="Calibri" w:hAnsi="Times New Roman" w:cs="Times New Roman"/>
                <w:color w:val="000000"/>
              </w:rPr>
              <w:t>5</w:t>
            </w:r>
          </w:p>
        </w:tc>
        <w:tc>
          <w:tcPr>
            <w:tcW w:w="908" w:type="dxa"/>
            <w:gridSpan w:val="2"/>
            <w:shd w:val="clear" w:color="auto" w:fill="FFFFFF"/>
          </w:tcPr>
          <w:p w14:paraId="57914055" w14:textId="77777777" w:rsidR="00871FB3" w:rsidRPr="00DC6133" w:rsidRDefault="00871FB3" w:rsidP="00871FB3">
            <w:pPr>
              <w:spacing w:before="60" w:after="60" w:line="240" w:lineRule="auto"/>
              <w:jc w:val="center"/>
              <w:rPr>
                <w:rFonts w:ascii="Times New Roman" w:eastAsia="Calibri" w:hAnsi="Times New Roman" w:cs="Times New Roman"/>
                <w:color w:val="000000"/>
              </w:rPr>
            </w:pPr>
            <w:r w:rsidRPr="00DC6133">
              <w:rPr>
                <w:rFonts w:ascii="Times New Roman" w:eastAsia="Calibri" w:hAnsi="Times New Roman" w:cs="Times New Roman"/>
                <w:color w:val="000000"/>
              </w:rPr>
              <w:t>10</w:t>
            </w:r>
          </w:p>
        </w:tc>
        <w:tc>
          <w:tcPr>
            <w:tcW w:w="1604" w:type="dxa"/>
            <w:gridSpan w:val="2"/>
            <w:shd w:val="clear" w:color="auto" w:fill="FFFFFF"/>
          </w:tcPr>
          <w:p w14:paraId="7A5DEF5E" w14:textId="77777777" w:rsidR="00871FB3" w:rsidRPr="00DC6133" w:rsidRDefault="00871FB3" w:rsidP="00871FB3">
            <w:pPr>
              <w:spacing w:before="60" w:after="60" w:line="240" w:lineRule="auto"/>
              <w:ind w:left="-94" w:right="-156"/>
              <w:jc w:val="center"/>
              <w:rPr>
                <w:rFonts w:ascii="Times New Roman" w:eastAsia="Calibri" w:hAnsi="Times New Roman" w:cs="Times New Roman"/>
                <w:color w:val="000000"/>
              </w:rPr>
            </w:pPr>
            <w:r w:rsidRPr="00DC6133">
              <w:rPr>
                <w:rFonts w:ascii="Times New Roman" w:eastAsia="Calibri" w:hAnsi="Times New Roman" w:cs="Times New Roman"/>
                <w:color w:val="000000"/>
              </w:rPr>
              <w:t>Łącznie</w:t>
            </w:r>
            <w:r w:rsidRPr="00DC6133" w:rsidDel="0073273A">
              <w:rPr>
                <w:rFonts w:ascii="Times New Roman" w:eastAsia="Calibri" w:hAnsi="Times New Roman" w:cs="Times New Roman"/>
                <w:color w:val="000000"/>
              </w:rPr>
              <w:t xml:space="preserve"> </w:t>
            </w:r>
            <w:r w:rsidRPr="00DC6133">
              <w:rPr>
                <w:rFonts w:ascii="Times New Roman" w:eastAsia="Calibri" w:hAnsi="Times New Roman" w:cs="Times New Roman"/>
                <w:color w:val="000000"/>
              </w:rPr>
              <w:t>(0–10)</w:t>
            </w:r>
          </w:p>
        </w:tc>
      </w:tr>
      <w:tr w:rsidR="00871FB3" w:rsidRPr="00DC6133" w14:paraId="5D6B1E56" w14:textId="77777777" w:rsidTr="00F555A5">
        <w:trPr>
          <w:gridAfter w:val="1"/>
          <w:wAfter w:w="10" w:type="dxa"/>
          <w:trHeight w:val="142"/>
          <w:jc w:val="center"/>
        </w:trPr>
        <w:tc>
          <w:tcPr>
            <w:tcW w:w="1596" w:type="dxa"/>
            <w:vMerge w:val="restart"/>
            <w:shd w:val="clear" w:color="auto" w:fill="FFFFFF"/>
          </w:tcPr>
          <w:p w14:paraId="34CE1172" w14:textId="77777777" w:rsidR="00871FB3" w:rsidRPr="00DC6133" w:rsidRDefault="00871FB3" w:rsidP="00871FB3">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t>W ujęciu pieniężnym</w:t>
            </w:r>
          </w:p>
          <w:p w14:paraId="60801FC6"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rPr>
              <w:t xml:space="preserve">(w mln zł, </w:t>
            </w:r>
          </w:p>
          <w:p w14:paraId="2E4FE0B6" w14:textId="77777777" w:rsidR="00871FB3" w:rsidRPr="00DC6133" w:rsidRDefault="00871FB3" w:rsidP="00871FB3">
            <w:pPr>
              <w:spacing w:before="60" w:after="60" w:line="240" w:lineRule="auto"/>
              <w:rPr>
                <w:rFonts w:ascii="Times New Roman" w:eastAsia="Calibri" w:hAnsi="Times New Roman" w:cs="Times New Roman"/>
              </w:rPr>
            </w:pPr>
            <w:r w:rsidRPr="00DC6133">
              <w:rPr>
                <w:rFonts w:ascii="Times New Roman" w:eastAsia="Calibri" w:hAnsi="Times New Roman" w:cs="Times New Roman"/>
              </w:rPr>
              <w:t>ceny stałe</w:t>
            </w:r>
          </w:p>
          <w:p w14:paraId="496C65F5" w14:textId="66788265" w:rsidR="00871FB3" w:rsidRPr="00DC6133" w:rsidRDefault="00871FB3" w:rsidP="00871FB3">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rPr>
              <w:t>z </w:t>
            </w:r>
            <w:r>
              <w:rPr>
                <w:rFonts w:ascii="Times New Roman" w:eastAsia="Calibri" w:hAnsi="Times New Roman" w:cs="Times New Roman"/>
              </w:rPr>
              <w:t>2021</w:t>
            </w:r>
            <w:r w:rsidRPr="00DC6133">
              <w:rPr>
                <w:rFonts w:ascii="Times New Roman" w:eastAsia="Calibri" w:hAnsi="Times New Roman" w:cs="Times New Roman"/>
              </w:rPr>
              <w:t xml:space="preserve"> r.)</w:t>
            </w:r>
          </w:p>
        </w:tc>
        <w:tc>
          <w:tcPr>
            <w:tcW w:w="2293" w:type="dxa"/>
            <w:gridSpan w:val="6"/>
            <w:shd w:val="clear" w:color="auto" w:fill="FFFFFF"/>
          </w:tcPr>
          <w:p w14:paraId="5E90388D" w14:textId="77777777" w:rsidR="00871FB3" w:rsidRPr="00DC6133" w:rsidRDefault="00871FB3" w:rsidP="00871FB3">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t>duże przedsiębiorstwa</w:t>
            </w:r>
          </w:p>
        </w:tc>
        <w:tc>
          <w:tcPr>
            <w:tcW w:w="907" w:type="dxa"/>
            <w:gridSpan w:val="2"/>
            <w:shd w:val="clear" w:color="auto" w:fill="FFFFFF"/>
          </w:tcPr>
          <w:p w14:paraId="5DD65D2D" w14:textId="2D07BA6A" w:rsidR="00871FB3" w:rsidRPr="00DC6133" w:rsidRDefault="003F05FF" w:rsidP="00871FB3">
            <w:pPr>
              <w:spacing w:before="60" w:after="60" w:line="240" w:lineRule="auto"/>
              <w:rPr>
                <w:rFonts w:ascii="Times New Roman" w:eastAsia="Calibri" w:hAnsi="Times New Roman" w:cs="Times New Roman"/>
                <w:color w:val="000000"/>
              </w:rPr>
            </w:pPr>
            <w:r>
              <w:rPr>
                <w:rFonts w:ascii="Times New Roman" w:eastAsia="Calibri" w:hAnsi="Times New Roman" w:cs="Times New Roman"/>
                <w:color w:val="000000"/>
              </w:rPr>
              <w:t>0</w:t>
            </w:r>
          </w:p>
        </w:tc>
        <w:tc>
          <w:tcPr>
            <w:tcW w:w="907" w:type="dxa"/>
            <w:gridSpan w:val="5"/>
            <w:shd w:val="clear" w:color="auto" w:fill="FFFFFF"/>
          </w:tcPr>
          <w:p w14:paraId="03C16D08" w14:textId="1C873BFE" w:rsidR="00871FB3" w:rsidRPr="00DC6133" w:rsidRDefault="003F05FF" w:rsidP="00871FB3">
            <w:pPr>
              <w:spacing w:before="60" w:after="60" w:line="240" w:lineRule="auto"/>
              <w:rPr>
                <w:rFonts w:ascii="Times New Roman" w:eastAsia="Calibri" w:hAnsi="Times New Roman" w:cs="Times New Roman"/>
                <w:color w:val="000000"/>
              </w:rPr>
            </w:pPr>
            <w:r>
              <w:rPr>
                <w:rFonts w:ascii="Times New Roman" w:eastAsia="Calibri" w:hAnsi="Times New Roman" w:cs="Times New Roman"/>
                <w:color w:val="000000"/>
              </w:rPr>
              <w:t>0</w:t>
            </w:r>
          </w:p>
        </w:tc>
        <w:tc>
          <w:tcPr>
            <w:tcW w:w="908" w:type="dxa"/>
            <w:gridSpan w:val="3"/>
            <w:shd w:val="clear" w:color="auto" w:fill="FFFFFF"/>
          </w:tcPr>
          <w:p w14:paraId="2E806BAD" w14:textId="0B153DB1" w:rsidR="00871FB3" w:rsidRPr="00DC6133" w:rsidRDefault="003F05FF" w:rsidP="00871FB3">
            <w:pPr>
              <w:spacing w:before="60" w:after="60" w:line="240" w:lineRule="auto"/>
              <w:rPr>
                <w:rFonts w:ascii="Times New Roman" w:eastAsia="Calibri" w:hAnsi="Times New Roman" w:cs="Times New Roman"/>
                <w:color w:val="000000"/>
              </w:rPr>
            </w:pPr>
            <w:r>
              <w:rPr>
                <w:rFonts w:ascii="Times New Roman" w:eastAsia="Calibri" w:hAnsi="Times New Roman" w:cs="Times New Roman"/>
                <w:color w:val="000000"/>
              </w:rPr>
              <w:t>0</w:t>
            </w:r>
          </w:p>
        </w:tc>
        <w:tc>
          <w:tcPr>
            <w:tcW w:w="907" w:type="dxa"/>
            <w:gridSpan w:val="4"/>
            <w:shd w:val="clear" w:color="auto" w:fill="FFFFFF"/>
          </w:tcPr>
          <w:p w14:paraId="0FAFA64A" w14:textId="48EC6E8A" w:rsidR="00871FB3" w:rsidRPr="00DC6133" w:rsidRDefault="003F05FF" w:rsidP="00871FB3">
            <w:pPr>
              <w:spacing w:before="60" w:after="60" w:line="240" w:lineRule="auto"/>
              <w:rPr>
                <w:rFonts w:ascii="Times New Roman" w:eastAsia="Calibri" w:hAnsi="Times New Roman" w:cs="Times New Roman"/>
                <w:color w:val="000000"/>
              </w:rPr>
            </w:pPr>
            <w:r>
              <w:rPr>
                <w:rFonts w:ascii="Times New Roman" w:eastAsia="Calibri" w:hAnsi="Times New Roman" w:cs="Times New Roman"/>
                <w:color w:val="000000"/>
              </w:rPr>
              <w:t>0</w:t>
            </w:r>
          </w:p>
        </w:tc>
        <w:tc>
          <w:tcPr>
            <w:tcW w:w="907" w:type="dxa"/>
            <w:gridSpan w:val="4"/>
            <w:shd w:val="clear" w:color="auto" w:fill="FFFFFF"/>
          </w:tcPr>
          <w:p w14:paraId="608B2193" w14:textId="315989A9" w:rsidR="00871FB3" w:rsidRPr="00DC6133" w:rsidRDefault="003F05FF" w:rsidP="00871FB3">
            <w:pPr>
              <w:spacing w:before="60" w:after="60" w:line="240" w:lineRule="auto"/>
              <w:rPr>
                <w:rFonts w:ascii="Times New Roman" w:eastAsia="Calibri" w:hAnsi="Times New Roman" w:cs="Times New Roman"/>
                <w:color w:val="000000"/>
              </w:rPr>
            </w:pPr>
            <w:r>
              <w:rPr>
                <w:rFonts w:ascii="Times New Roman" w:eastAsia="Calibri" w:hAnsi="Times New Roman" w:cs="Times New Roman"/>
                <w:color w:val="000000"/>
              </w:rPr>
              <w:t>0</w:t>
            </w:r>
          </w:p>
        </w:tc>
        <w:tc>
          <w:tcPr>
            <w:tcW w:w="908" w:type="dxa"/>
            <w:gridSpan w:val="2"/>
            <w:shd w:val="clear" w:color="auto" w:fill="FFFFFF"/>
          </w:tcPr>
          <w:p w14:paraId="5493E330" w14:textId="5302F6F4" w:rsidR="00871FB3" w:rsidRPr="00DC6133" w:rsidRDefault="003F05FF" w:rsidP="00871FB3">
            <w:pPr>
              <w:spacing w:before="60" w:after="60" w:line="240" w:lineRule="auto"/>
              <w:rPr>
                <w:rFonts w:ascii="Times New Roman" w:eastAsia="Calibri" w:hAnsi="Times New Roman" w:cs="Times New Roman"/>
                <w:color w:val="000000"/>
              </w:rPr>
            </w:pPr>
            <w:r>
              <w:rPr>
                <w:rFonts w:ascii="Times New Roman" w:eastAsia="Calibri" w:hAnsi="Times New Roman" w:cs="Times New Roman"/>
                <w:color w:val="000000"/>
              </w:rPr>
              <w:t>0</w:t>
            </w:r>
          </w:p>
        </w:tc>
        <w:tc>
          <w:tcPr>
            <w:tcW w:w="1604" w:type="dxa"/>
            <w:gridSpan w:val="2"/>
            <w:shd w:val="clear" w:color="auto" w:fill="FFFFFF"/>
          </w:tcPr>
          <w:p w14:paraId="487F79A9" w14:textId="33C8D152" w:rsidR="00871FB3" w:rsidRPr="00DC6133" w:rsidRDefault="003F05FF" w:rsidP="00871FB3">
            <w:pPr>
              <w:spacing w:before="60" w:after="60" w:line="240" w:lineRule="auto"/>
              <w:rPr>
                <w:rFonts w:ascii="Times New Roman" w:eastAsia="Calibri" w:hAnsi="Times New Roman" w:cs="Times New Roman"/>
                <w:color w:val="000000"/>
              </w:rPr>
            </w:pPr>
            <w:r>
              <w:rPr>
                <w:rFonts w:ascii="Times New Roman" w:eastAsia="Calibri" w:hAnsi="Times New Roman" w:cs="Times New Roman"/>
                <w:color w:val="000000"/>
              </w:rPr>
              <w:t>0</w:t>
            </w:r>
          </w:p>
        </w:tc>
      </w:tr>
      <w:tr w:rsidR="00871FB3" w:rsidRPr="00DC6133" w14:paraId="599B4BF0" w14:textId="77777777" w:rsidTr="00F555A5">
        <w:trPr>
          <w:gridAfter w:val="1"/>
          <w:wAfter w:w="10" w:type="dxa"/>
          <w:trHeight w:val="142"/>
          <w:jc w:val="center"/>
        </w:trPr>
        <w:tc>
          <w:tcPr>
            <w:tcW w:w="1596" w:type="dxa"/>
            <w:vMerge/>
            <w:shd w:val="clear" w:color="auto" w:fill="FFFFFF"/>
          </w:tcPr>
          <w:p w14:paraId="7177B031" w14:textId="77777777" w:rsidR="00871FB3" w:rsidRPr="00DC6133" w:rsidRDefault="00871FB3" w:rsidP="00871FB3">
            <w:pPr>
              <w:spacing w:before="60" w:after="60" w:line="240" w:lineRule="auto"/>
              <w:rPr>
                <w:rFonts w:ascii="Times New Roman" w:eastAsia="Calibri" w:hAnsi="Times New Roman" w:cs="Times New Roman"/>
                <w:color w:val="000000"/>
              </w:rPr>
            </w:pPr>
          </w:p>
        </w:tc>
        <w:tc>
          <w:tcPr>
            <w:tcW w:w="2293" w:type="dxa"/>
            <w:gridSpan w:val="6"/>
            <w:shd w:val="clear" w:color="auto" w:fill="FFFFFF"/>
          </w:tcPr>
          <w:p w14:paraId="17AF37AC" w14:textId="77777777" w:rsidR="00871FB3" w:rsidRPr="00DC6133" w:rsidRDefault="00871FB3" w:rsidP="00871FB3">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t>sektor mikro-, małych i średnich przedsiębiorstw</w:t>
            </w:r>
          </w:p>
        </w:tc>
        <w:tc>
          <w:tcPr>
            <w:tcW w:w="907" w:type="dxa"/>
            <w:gridSpan w:val="2"/>
            <w:shd w:val="clear" w:color="auto" w:fill="FFFFFF"/>
          </w:tcPr>
          <w:p w14:paraId="37F77C4E" w14:textId="3A131918" w:rsidR="00871FB3" w:rsidRPr="00DC6133" w:rsidRDefault="003F05FF" w:rsidP="00871FB3">
            <w:pPr>
              <w:spacing w:before="60" w:after="60" w:line="240" w:lineRule="auto"/>
              <w:rPr>
                <w:rFonts w:ascii="Times New Roman" w:eastAsia="Calibri" w:hAnsi="Times New Roman" w:cs="Times New Roman"/>
                <w:color w:val="000000"/>
              </w:rPr>
            </w:pPr>
            <w:r>
              <w:rPr>
                <w:rFonts w:ascii="Times New Roman" w:eastAsia="Calibri" w:hAnsi="Times New Roman" w:cs="Times New Roman"/>
                <w:color w:val="000000"/>
              </w:rPr>
              <w:t>0</w:t>
            </w:r>
          </w:p>
        </w:tc>
        <w:tc>
          <w:tcPr>
            <w:tcW w:w="907" w:type="dxa"/>
            <w:gridSpan w:val="5"/>
            <w:shd w:val="clear" w:color="auto" w:fill="FFFFFF"/>
          </w:tcPr>
          <w:p w14:paraId="2C68865E" w14:textId="09B6938D" w:rsidR="00871FB3" w:rsidRPr="00DC6133" w:rsidRDefault="003F05FF" w:rsidP="00871FB3">
            <w:pPr>
              <w:spacing w:before="60" w:after="60" w:line="240" w:lineRule="auto"/>
              <w:rPr>
                <w:rFonts w:ascii="Times New Roman" w:eastAsia="Calibri" w:hAnsi="Times New Roman" w:cs="Times New Roman"/>
                <w:color w:val="000000"/>
              </w:rPr>
            </w:pPr>
            <w:r>
              <w:rPr>
                <w:rFonts w:ascii="Times New Roman" w:eastAsia="Calibri" w:hAnsi="Times New Roman" w:cs="Times New Roman"/>
                <w:color w:val="000000"/>
              </w:rPr>
              <w:t>0</w:t>
            </w:r>
          </w:p>
        </w:tc>
        <w:tc>
          <w:tcPr>
            <w:tcW w:w="908" w:type="dxa"/>
            <w:gridSpan w:val="3"/>
            <w:shd w:val="clear" w:color="auto" w:fill="FFFFFF"/>
          </w:tcPr>
          <w:p w14:paraId="40F7894F" w14:textId="3C4735EE" w:rsidR="00871FB3" w:rsidRPr="00DC6133" w:rsidRDefault="003F05FF" w:rsidP="00871FB3">
            <w:pPr>
              <w:spacing w:before="60" w:after="60" w:line="240" w:lineRule="auto"/>
              <w:rPr>
                <w:rFonts w:ascii="Times New Roman" w:eastAsia="Calibri" w:hAnsi="Times New Roman" w:cs="Times New Roman"/>
                <w:color w:val="000000"/>
              </w:rPr>
            </w:pPr>
            <w:r>
              <w:rPr>
                <w:rFonts w:ascii="Times New Roman" w:eastAsia="Calibri" w:hAnsi="Times New Roman" w:cs="Times New Roman"/>
                <w:color w:val="000000"/>
              </w:rPr>
              <w:t>0</w:t>
            </w:r>
          </w:p>
        </w:tc>
        <w:tc>
          <w:tcPr>
            <w:tcW w:w="907" w:type="dxa"/>
            <w:gridSpan w:val="4"/>
            <w:shd w:val="clear" w:color="auto" w:fill="FFFFFF"/>
          </w:tcPr>
          <w:p w14:paraId="735B6846" w14:textId="12ECBDA9" w:rsidR="00871FB3" w:rsidRPr="00DC6133" w:rsidRDefault="003F05FF" w:rsidP="00871FB3">
            <w:pPr>
              <w:spacing w:before="60" w:after="60" w:line="240" w:lineRule="auto"/>
              <w:rPr>
                <w:rFonts w:ascii="Times New Roman" w:eastAsia="Calibri" w:hAnsi="Times New Roman" w:cs="Times New Roman"/>
                <w:color w:val="000000"/>
              </w:rPr>
            </w:pPr>
            <w:r>
              <w:rPr>
                <w:rFonts w:ascii="Times New Roman" w:eastAsia="Calibri" w:hAnsi="Times New Roman" w:cs="Times New Roman"/>
                <w:color w:val="000000"/>
              </w:rPr>
              <w:t>0</w:t>
            </w:r>
          </w:p>
        </w:tc>
        <w:tc>
          <w:tcPr>
            <w:tcW w:w="907" w:type="dxa"/>
            <w:gridSpan w:val="4"/>
            <w:shd w:val="clear" w:color="auto" w:fill="FFFFFF"/>
          </w:tcPr>
          <w:p w14:paraId="14BC37B3" w14:textId="1F34B9D7" w:rsidR="00871FB3" w:rsidRPr="00DC6133" w:rsidRDefault="003F05FF" w:rsidP="00871FB3">
            <w:pPr>
              <w:spacing w:before="60" w:after="60" w:line="240" w:lineRule="auto"/>
              <w:rPr>
                <w:rFonts w:ascii="Times New Roman" w:eastAsia="Calibri" w:hAnsi="Times New Roman" w:cs="Times New Roman"/>
                <w:color w:val="000000"/>
              </w:rPr>
            </w:pPr>
            <w:r>
              <w:rPr>
                <w:rFonts w:ascii="Times New Roman" w:eastAsia="Calibri" w:hAnsi="Times New Roman" w:cs="Times New Roman"/>
                <w:color w:val="000000"/>
              </w:rPr>
              <w:t>0</w:t>
            </w:r>
          </w:p>
        </w:tc>
        <w:tc>
          <w:tcPr>
            <w:tcW w:w="908" w:type="dxa"/>
            <w:gridSpan w:val="2"/>
            <w:shd w:val="clear" w:color="auto" w:fill="FFFFFF"/>
          </w:tcPr>
          <w:p w14:paraId="13B181A8" w14:textId="44CA1E7C" w:rsidR="00871FB3" w:rsidRPr="00DC6133" w:rsidRDefault="003F05FF" w:rsidP="00871FB3">
            <w:pPr>
              <w:spacing w:before="60" w:after="60" w:line="240" w:lineRule="auto"/>
              <w:rPr>
                <w:rFonts w:ascii="Times New Roman" w:eastAsia="Calibri" w:hAnsi="Times New Roman" w:cs="Times New Roman"/>
                <w:color w:val="000000"/>
              </w:rPr>
            </w:pPr>
            <w:r>
              <w:rPr>
                <w:rFonts w:ascii="Times New Roman" w:eastAsia="Calibri" w:hAnsi="Times New Roman" w:cs="Times New Roman"/>
                <w:color w:val="000000"/>
              </w:rPr>
              <w:t>0</w:t>
            </w:r>
          </w:p>
        </w:tc>
        <w:tc>
          <w:tcPr>
            <w:tcW w:w="1604" w:type="dxa"/>
            <w:gridSpan w:val="2"/>
            <w:shd w:val="clear" w:color="auto" w:fill="FFFFFF"/>
          </w:tcPr>
          <w:p w14:paraId="1BC7C347" w14:textId="1900496D" w:rsidR="00871FB3" w:rsidRPr="00DC6133" w:rsidRDefault="003F05FF" w:rsidP="00871FB3">
            <w:pPr>
              <w:spacing w:before="60" w:after="60" w:line="240" w:lineRule="auto"/>
              <w:rPr>
                <w:rFonts w:ascii="Times New Roman" w:eastAsia="Calibri" w:hAnsi="Times New Roman" w:cs="Times New Roman"/>
                <w:color w:val="000000"/>
              </w:rPr>
            </w:pPr>
            <w:r>
              <w:rPr>
                <w:rFonts w:ascii="Times New Roman" w:eastAsia="Calibri" w:hAnsi="Times New Roman" w:cs="Times New Roman"/>
                <w:color w:val="000000"/>
              </w:rPr>
              <w:t>0</w:t>
            </w:r>
          </w:p>
        </w:tc>
      </w:tr>
      <w:tr w:rsidR="00871FB3" w:rsidRPr="00DC6133" w14:paraId="599A7291" w14:textId="77777777" w:rsidTr="00F555A5">
        <w:trPr>
          <w:gridAfter w:val="1"/>
          <w:wAfter w:w="10" w:type="dxa"/>
          <w:trHeight w:val="142"/>
          <w:jc w:val="center"/>
        </w:trPr>
        <w:tc>
          <w:tcPr>
            <w:tcW w:w="1596" w:type="dxa"/>
            <w:vMerge/>
            <w:shd w:val="clear" w:color="auto" w:fill="FFFFFF"/>
          </w:tcPr>
          <w:p w14:paraId="35BD2B87" w14:textId="77777777" w:rsidR="00871FB3" w:rsidRPr="00DC6133" w:rsidRDefault="00871FB3" w:rsidP="00871FB3">
            <w:pPr>
              <w:spacing w:before="60" w:after="60" w:line="240" w:lineRule="auto"/>
              <w:rPr>
                <w:rFonts w:ascii="Times New Roman" w:eastAsia="Calibri" w:hAnsi="Times New Roman" w:cs="Times New Roman"/>
                <w:color w:val="000000"/>
              </w:rPr>
            </w:pPr>
          </w:p>
        </w:tc>
        <w:tc>
          <w:tcPr>
            <w:tcW w:w="2293" w:type="dxa"/>
            <w:gridSpan w:val="6"/>
            <w:shd w:val="clear" w:color="auto" w:fill="FFFFFF"/>
          </w:tcPr>
          <w:p w14:paraId="353B9EC1" w14:textId="77777777" w:rsidR="00871FB3" w:rsidRPr="00DC6133" w:rsidRDefault="00871FB3" w:rsidP="00871FB3">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rPr>
              <w:t>rodzina, obywatele oraz gospodarstwa domowe</w:t>
            </w:r>
          </w:p>
        </w:tc>
        <w:tc>
          <w:tcPr>
            <w:tcW w:w="907" w:type="dxa"/>
            <w:gridSpan w:val="2"/>
            <w:shd w:val="clear" w:color="auto" w:fill="FFFFFF"/>
          </w:tcPr>
          <w:p w14:paraId="4B461B3E" w14:textId="37FD4D03" w:rsidR="00871FB3" w:rsidRPr="00DC6133" w:rsidRDefault="003F05FF" w:rsidP="00871FB3">
            <w:pPr>
              <w:spacing w:before="60" w:after="60" w:line="240" w:lineRule="auto"/>
              <w:rPr>
                <w:rFonts w:ascii="Times New Roman" w:eastAsia="Calibri" w:hAnsi="Times New Roman" w:cs="Times New Roman"/>
                <w:color w:val="000000"/>
              </w:rPr>
            </w:pPr>
            <w:r>
              <w:rPr>
                <w:rFonts w:ascii="Times New Roman" w:eastAsia="Calibri" w:hAnsi="Times New Roman" w:cs="Times New Roman"/>
                <w:color w:val="000000"/>
              </w:rPr>
              <w:t>0</w:t>
            </w:r>
          </w:p>
        </w:tc>
        <w:tc>
          <w:tcPr>
            <w:tcW w:w="907" w:type="dxa"/>
            <w:gridSpan w:val="5"/>
            <w:shd w:val="clear" w:color="auto" w:fill="FFFFFF"/>
          </w:tcPr>
          <w:p w14:paraId="5B8FFE27" w14:textId="0B803992" w:rsidR="00871FB3" w:rsidRPr="00DC6133" w:rsidRDefault="003F05FF" w:rsidP="00871FB3">
            <w:pPr>
              <w:spacing w:before="60" w:after="60" w:line="240" w:lineRule="auto"/>
              <w:rPr>
                <w:rFonts w:ascii="Times New Roman" w:eastAsia="Calibri" w:hAnsi="Times New Roman" w:cs="Times New Roman"/>
                <w:color w:val="000000"/>
              </w:rPr>
            </w:pPr>
            <w:r>
              <w:rPr>
                <w:rFonts w:ascii="Times New Roman" w:eastAsia="Calibri" w:hAnsi="Times New Roman" w:cs="Times New Roman"/>
                <w:color w:val="000000"/>
              </w:rPr>
              <w:t>0</w:t>
            </w:r>
          </w:p>
        </w:tc>
        <w:tc>
          <w:tcPr>
            <w:tcW w:w="908" w:type="dxa"/>
            <w:gridSpan w:val="3"/>
            <w:shd w:val="clear" w:color="auto" w:fill="FFFFFF"/>
          </w:tcPr>
          <w:p w14:paraId="3E15F5D6" w14:textId="512D4279" w:rsidR="00871FB3" w:rsidRPr="00DC6133" w:rsidRDefault="003F05FF" w:rsidP="00871FB3">
            <w:pPr>
              <w:spacing w:before="60" w:after="60" w:line="240" w:lineRule="auto"/>
              <w:rPr>
                <w:rFonts w:ascii="Times New Roman" w:eastAsia="Calibri" w:hAnsi="Times New Roman" w:cs="Times New Roman"/>
                <w:color w:val="000000"/>
              </w:rPr>
            </w:pPr>
            <w:r>
              <w:rPr>
                <w:rFonts w:ascii="Times New Roman" w:eastAsia="Calibri" w:hAnsi="Times New Roman" w:cs="Times New Roman"/>
                <w:color w:val="000000"/>
              </w:rPr>
              <w:t>0</w:t>
            </w:r>
          </w:p>
        </w:tc>
        <w:tc>
          <w:tcPr>
            <w:tcW w:w="907" w:type="dxa"/>
            <w:gridSpan w:val="4"/>
            <w:shd w:val="clear" w:color="auto" w:fill="FFFFFF"/>
          </w:tcPr>
          <w:p w14:paraId="6B84DA26" w14:textId="505BEAC8" w:rsidR="00871FB3" w:rsidRPr="00DC6133" w:rsidRDefault="003F05FF" w:rsidP="00871FB3">
            <w:pPr>
              <w:spacing w:before="60" w:after="60" w:line="240" w:lineRule="auto"/>
              <w:rPr>
                <w:rFonts w:ascii="Times New Roman" w:eastAsia="Calibri" w:hAnsi="Times New Roman" w:cs="Times New Roman"/>
                <w:color w:val="000000"/>
              </w:rPr>
            </w:pPr>
            <w:r>
              <w:rPr>
                <w:rFonts w:ascii="Times New Roman" w:eastAsia="Calibri" w:hAnsi="Times New Roman" w:cs="Times New Roman"/>
                <w:color w:val="000000"/>
              </w:rPr>
              <w:t>0</w:t>
            </w:r>
          </w:p>
        </w:tc>
        <w:tc>
          <w:tcPr>
            <w:tcW w:w="907" w:type="dxa"/>
            <w:gridSpan w:val="4"/>
            <w:shd w:val="clear" w:color="auto" w:fill="FFFFFF"/>
          </w:tcPr>
          <w:p w14:paraId="62B1C19D" w14:textId="714AD7CA" w:rsidR="00871FB3" w:rsidRPr="00DC6133" w:rsidRDefault="003F05FF" w:rsidP="00871FB3">
            <w:pPr>
              <w:spacing w:before="60" w:after="60" w:line="240" w:lineRule="auto"/>
              <w:rPr>
                <w:rFonts w:ascii="Times New Roman" w:eastAsia="Calibri" w:hAnsi="Times New Roman" w:cs="Times New Roman"/>
                <w:color w:val="000000"/>
              </w:rPr>
            </w:pPr>
            <w:r>
              <w:rPr>
                <w:rFonts w:ascii="Times New Roman" w:eastAsia="Calibri" w:hAnsi="Times New Roman" w:cs="Times New Roman"/>
                <w:color w:val="000000"/>
              </w:rPr>
              <w:t>0</w:t>
            </w:r>
          </w:p>
        </w:tc>
        <w:tc>
          <w:tcPr>
            <w:tcW w:w="908" w:type="dxa"/>
            <w:gridSpan w:val="2"/>
            <w:shd w:val="clear" w:color="auto" w:fill="FFFFFF"/>
          </w:tcPr>
          <w:p w14:paraId="585D8DC2" w14:textId="5F45581E" w:rsidR="00871FB3" w:rsidRPr="00DC6133" w:rsidRDefault="003F05FF" w:rsidP="00871FB3">
            <w:pPr>
              <w:spacing w:before="60" w:after="60" w:line="240" w:lineRule="auto"/>
              <w:rPr>
                <w:rFonts w:ascii="Times New Roman" w:eastAsia="Calibri" w:hAnsi="Times New Roman" w:cs="Times New Roman"/>
                <w:color w:val="000000"/>
              </w:rPr>
            </w:pPr>
            <w:r>
              <w:rPr>
                <w:rFonts w:ascii="Times New Roman" w:eastAsia="Calibri" w:hAnsi="Times New Roman" w:cs="Times New Roman"/>
                <w:color w:val="000000"/>
              </w:rPr>
              <w:t>0</w:t>
            </w:r>
          </w:p>
        </w:tc>
        <w:tc>
          <w:tcPr>
            <w:tcW w:w="1604" w:type="dxa"/>
            <w:gridSpan w:val="2"/>
            <w:shd w:val="clear" w:color="auto" w:fill="FFFFFF"/>
          </w:tcPr>
          <w:p w14:paraId="181430A2" w14:textId="02525AEF" w:rsidR="00871FB3" w:rsidRPr="00DC6133" w:rsidRDefault="003F05FF" w:rsidP="00871FB3">
            <w:pPr>
              <w:spacing w:before="60" w:after="60" w:line="240" w:lineRule="auto"/>
              <w:rPr>
                <w:rFonts w:ascii="Times New Roman" w:eastAsia="Calibri" w:hAnsi="Times New Roman" w:cs="Times New Roman"/>
                <w:color w:val="000000"/>
              </w:rPr>
            </w:pPr>
            <w:r>
              <w:rPr>
                <w:rFonts w:ascii="Times New Roman" w:eastAsia="Calibri" w:hAnsi="Times New Roman" w:cs="Times New Roman"/>
                <w:color w:val="000000"/>
              </w:rPr>
              <w:t>0</w:t>
            </w:r>
          </w:p>
        </w:tc>
      </w:tr>
      <w:tr w:rsidR="00871FB3" w:rsidRPr="00DC6133" w14:paraId="15C973DE" w14:textId="77777777" w:rsidTr="00F555A5">
        <w:trPr>
          <w:gridAfter w:val="1"/>
          <w:wAfter w:w="10" w:type="dxa"/>
          <w:trHeight w:val="142"/>
          <w:jc w:val="center"/>
        </w:trPr>
        <w:tc>
          <w:tcPr>
            <w:tcW w:w="1596" w:type="dxa"/>
            <w:vMerge w:val="restart"/>
            <w:shd w:val="clear" w:color="auto" w:fill="FFFFFF"/>
          </w:tcPr>
          <w:p w14:paraId="152A1BF7" w14:textId="77777777" w:rsidR="00871FB3" w:rsidRPr="00DC6133" w:rsidRDefault="00871FB3" w:rsidP="00871FB3">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t>W ujęciu niepieniężnym</w:t>
            </w:r>
          </w:p>
        </w:tc>
        <w:tc>
          <w:tcPr>
            <w:tcW w:w="2293" w:type="dxa"/>
            <w:gridSpan w:val="6"/>
            <w:shd w:val="clear" w:color="auto" w:fill="FFFFFF"/>
          </w:tcPr>
          <w:p w14:paraId="0B7F8CCE" w14:textId="77777777" w:rsidR="00871FB3" w:rsidRPr="00DC6133" w:rsidRDefault="00871FB3" w:rsidP="00871FB3">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t>duże przedsiębiorstwa</w:t>
            </w:r>
          </w:p>
        </w:tc>
        <w:tc>
          <w:tcPr>
            <w:tcW w:w="7048" w:type="dxa"/>
            <w:gridSpan w:val="22"/>
            <w:shd w:val="clear" w:color="auto" w:fill="FFFFFF"/>
          </w:tcPr>
          <w:p w14:paraId="3749658C" w14:textId="6279FE61" w:rsidR="00871FB3" w:rsidRPr="00DC6133" w:rsidRDefault="00871FB3" w:rsidP="00871FB3">
            <w:pPr>
              <w:spacing w:before="60" w:after="60" w:line="240" w:lineRule="auto"/>
              <w:rPr>
                <w:rFonts w:ascii="Times New Roman" w:eastAsia="Calibri" w:hAnsi="Times New Roman" w:cs="Times New Roman"/>
                <w:color w:val="000000"/>
              </w:rPr>
            </w:pPr>
            <w:r>
              <w:rPr>
                <w:rFonts w:ascii="Times New Roman" w:eastAsia="Calibri" w:hAnsi="Times New Roman" w:cs="Times New Roman"/>
                <w:color w:val="000000"/>
              </w:rPr>
              <w:t>Brak wpływu</w:t>
            </w:r>
          </w:p>
        </w:tc>
      </w:tr>
      <w:tr w:rsidR="00871FB3" w:rsidRPr="00DC6133" w14:paraId="2D0020F6" w14:textId="77777777" w:rsidTr="00F555A5">
        <w:trPr>
          <w:gridAfter w:val="1"/>
          <w:wAfter w:w="10" w:type="dxa"/>
          <w:trHeight w:val="142"/>
          <w:jc w:val="center"/>
        </w:trPr>
        <w:tc>
          <w:tcPr>
            <w:tcW w:w="1596" w:type="dxa"/>
            <w:vMerge/>
            <w:shd w:val="clear" w:color="auto" w:fill="FFFFFF"/>
          </w:tcPr>
          <w:p w14:paraId="6C6ED47A" w14:textId="77777777" w:rsidR="00871FB3" w:rsidRPr="00DC6133" w:rsidRDefault="00871FB3" w:rsidP="00871FB3">
            <w:pPr>
              <w:spacing w:before="60" w:after="60" w:line="240" w:lineRule="auto"/>
              <w:rPr>
                <w:rFonts w:ascii="Times New Roman" w:eastAsia="Calibri" w:hAnsi="Times New Roman" w:cs="Times New Roman"/>
                <w:color w:val="000000"/>
              </w:rPr>
            </w:pPr>
          </w:p>
        </w:tc>
        <w:tc>
          <w:tcPr>
            <w:tcW w:w="2293" w:type="dxa"/>
            <w:gridSpan w:val="6"/>
            <w:shd w:val="clear" w:color="auto" w:fill="FFFFFF"/>
          </w:tcPr>
          <w:p w14:paraId="72DA3B70" w14:textId="77777777" w:rsidR="00871FB3" w:rsidRPr="00DC6133" w:rsidRDefault="00871FB3" w:rsidP="00871FB3">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t>sektor mikro-, małych i średnich przedsiębiorstw</w:t>
            </w:r>
          </w:p>
        </w:tc>
        <w:tc>
          <w:tcPr>
            <w:tcW w:w="7048" w:type="dxa"/>
            <w:gridSpan w:val="22"/>
            <w:shd w:val="clear" w:color="auto" w:fill="FFFFFF"/>
          </w:tcPr>
          <w:p w14:paraId="39271FEA" w14:textId="559D0527" w:rsidR="00871FB3" w:rsidRPr="00DC6133" w:rsidRDefault="00871FB3" w:rsidP="00871FB3">
            <w:pPr>
              <w:spacing w:before="60" w:after="60" w:line="240" w:lineRule="auto"/>
              <w:rPr>
                <w:rFonts w:ascii="Times New Roman" w:eastAsia="Calibri" w:hAnsi="Times New Roman" w:cs="Times New Roman"/>
                <w:color w:val="000000"/>
              </w:rPr>
            </w:pPr>
            <w:r>
              <w:rPr>
                <w:rFonts w:ascii="Times New Roman" w:eastAsia="Calibri" w:hAnsi="Times New Roman" w:cs="Times New Roman"/>
                <w:color w:val="000000"/>
              </w:rPr>
              <w:t>Brak wpływu</w:t>
            </w:r>
          </w:p>
        </w:tc>
      </w:tr>
      <w:tr w:rsidR="00871FB3" w:rsidRPr="00DC6133" w14:paraId="7B7E3842" w14:textId="77777777" w:rsidTr="00F555A5">
        <w:trPr>
          <w:gridAfter w:val="1"/>
          <w:wAfter w:w="10" w:type="dxa"/>
          <w:trHeight w:val="596"/>
          <w:jc w:val="center"/>
        </w:trPr>
        <w:tc>
          <w:tcPr>
            <w:tcW w:w="1596" w:type="dxa"/>
            <w:vMerge/>
            <w:shd w:val="clear" w:color="auto" w:fill="FFFFFF"/>
          </w:tcPr>
          <w:p w14:paraId="78FD45BF" w14:textId="77777777" w:rsidR="00871FB3" w:rsidRPr="00DC6133" w:rsidRDefault="00871FB3" w:rsidP="00871FB3">
            <w:pPr>
              <w:spacing w:before="60" w:after="60" w:line="240" w:lineRule="auto"/>
              <w:rPr>
                <w:rFonts w:ascii="Times New Roman" w:eastAsia="Calibri" w:hAnsi="Times New Roman" w:cs="Times New Roman"/>
                <w:color w:val="000000"/>
              </w:rPr>
            </w:pPr>
          </w:p>
        </w:tc>
        <w:tc>
          <w:tcPr>
            <w:tcW w:w="2293" w:type="dxa"/>
            <w:gridSpan w:val="6"/>
            <w:shd w:val="clear" w:color="auto" w:fill="FFFFFF"/>
          </w:tcPr>
          <w:p w14:paraId="27699C0F" w14:textId="77777777" w:rsidR="00871FB3" w:rsidRPr="00DC6133" w:rsidRDefault="00871FB3" w:rsidP="00871FB3">
            <w:pPr>
              <w:tabs>
                <w:tab w:val="right" w:pos="1936"/>
              </w:tabs>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rPr>
              <w:t>rodzina, obywatele oraz gospodarstwa domowe</w:t>
            </w:r>
            <w:r w:rsidRPr="00DC6133">
              <w:rPr>
                <w:rFonts w:ascii="Times New Roman" w:eastAsia="Calibri" w:hAnsi="Times New Roman" w:cs="Times New Roman"/>
                <w:color w:val="000000"/>
              </w:rPr>
              <w:t xml:space="preserve"> </w:t>
            </w:r>
          </w:p>
        </w:tc>
        <w:tc>
          <w:tcPr>
            <w:tcW w:w="7048" w:type="dxa"/>
            <w:gridSpan w:val="22"/>
            <w:shd w:val="clear" w:color="auto" w:fill="FFFFFF"/>
          </w:tcPr>
          <w:p w14:paraId="1994C60A" w14:textId="4FD9208C" w:rsidR="00871FB3" w:rsidRPr="00DC6133" w:rsidRDefault="00871FB3" w:rsidP="00871FB3">
            <w:pPr>
              <w:spacing w:before="60" w:after="60" w:line="240" w:lineRule="auto"/>
              <w:rPr>
                <w:rFonts w:ascii="Times New Roman" w:eastAsia="Calibri" w:hAnsi="Times New Roman" w:cs="Times New Roman"/>
                <w:color w:val="000000"/>
              </w:rPr>
            </w:pPr>
            <w:r>
              <w:rPr>
                <w:rFonts w:ascii="Times New Roman" w:eastAsia="Calibri" w:hAnsi="Times New Roman" w:cs="Times New Roman"/>
                <w:color w:val="000000"/>
              </w:rPr>
              <w:t>Brak wpływu</w:t>
            </w:r>
          </w:p>
        </w:tc>
      </w:tr>
      <w:tr w:rsidR="002625F9" w:rsidRPr="00DC6133" w14:paraId="7189F977" w14:textId="77777777" w:rsidTr="00E83D39">
        <w:trPr>
          <w:gridAfter w:val="1"/>
          <w:wAfter w:w="10" w:type="dxa"/>
          <w:trHeight w:val="142"/>
          <w:jc w:val="center"/>
        </w:trPr>
        <w:tc>
          <w:tcPr>
            <w:tcW w:w="1596" w:type="dxa"/>
            <w:shd w:val="clear" w:color="auto" w:fill="FFFFFF"/>
          </w:tcPr>
          <w:p w14:paraId="344138E2" w14:textId="77777777" w:rsidR="002625F9" w:rsidRPr="00DC6133" w:rsidRDefault="002625F9" w:rsidP="002625F9">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t>Niemierzalne</w:t>
            </w: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tcPr>
          <w:p w14:paraId="45300826" w14:textId="4EEE9639" w:rsidR="002625F9" w:rsidRPr="00DC6133" w:rsidRDefault="002625F9" w:rsidP="002625F9">
            <w:pPr>
              <w:spacing w:before="60" w:after="60" w:line="240" w:lineRule="auto"/>
              <w:rPr>
                <w:rFonts w:ascii="Times New Roman" w:eastAsia="Calibri" w:hAnsi="Times New Roman" w:cs="Times New Roman"/>
                <w:color w:val="000000"/>
              </w:rPr>
            </w:pPr>
            <w:r w:rsidRPr="00253F6C">
              <w:rPr>
                <w:rFonts w:ascii="Times New Roman" w:hAnsi="Times New Roman"/>
              </w:rPr>
              <w:t xml:space="preserve">sytuacja ekonomiczna </w:t>
            </w:r>
            <w:r w:rsidRPr="00253F6C">
              <w:rPr>
                <w:rFonts w:ascii="Times New Roman" w:hAnsi="Times New Roman"/>
              </w:rPr>
              <w:br/>
              <w:t xml:space="preserve">i społeczna rodziny, </w:t>
            </w:r>
            <w:r w:rsidRPr="00253F6C">
              <w:rPr>
                <w:rFonts w:ascii="Times New Roman" w:hAnsi="Times New Roman"/>
              </w:rPr>
              <w:br/>
              <w:t>a także osób niepełnosprawnych oraz osób starszych</w:t>
            </w:r>
          </w:p>
        </w:tc>
        <w:tc>
          <w:tcPr>
            <w:tcW w:w="7048" w:type="dxa"/>
            <w:gridSpan w:val="22"/>
            <w:shd w:val="clear" w:color="auto" w:fill="FFFFFF"/>
          </w:tcPr>
          <w:p w14:paraId="5EB56FAC" w14:textId="28EE6AAC" w:rsidR="002625F9" w:rsidRPr="00DC6133" w:rsidRDefault="002625F9" w:rsidP="002625F9">
            <w:pPr>
              <w:spacing w:before="60" w:after="60" w:line="240" w:lineRule="auto"/>
              <w:rPr>
                <w:rFonts w:ascii="Times New Roman" w:eastAsia="Calibri" w:hAnsi="Times New Roman" w:cs="Times New Roman"/>
                <w:color w:val="000000"/>
              </w:rPr>
            </w:pPr>
            <w:r>
              <w:rPr>
                <w:rFonts w:ascii="Times New Roman" w:eastAsia="Calibri" w:hAnsi="Times New Roman" w:cs="Times New Roman"/>
                <w:color w:val="000000"/>
              </w:rPr>
              <w:t>Brak wpływu</w:t>
            </w:r>
          </w:p>
        </w:tc>
      </w:tr>
      <w:tr w:rsidR="002625F9" w:rsidRPr="00DC6133" w14:paraId="53D284D9" w14:textId="77777777" w:rsidTr="00F555A5">
        <w:trPr>
          <w:gridAfter w:val="1"/>
          <w:wAfter w:w="10" w:type="dxa"/>
          <w:trHeight w:val="1273"/>
          <w:jc w:val="center"/>
        </w:trPr>
        <w:tc>
          <w:tcPr>
            <w:tcW w:w="2243" w:type="dxa"/>
            <w:gridSpan w:val="2"/>
            <w:shd w:val="clear" w:color="auto" w:fill="FFFFFF"/>
          </w:tcPr>
          <w:p w14:paraId="55343E38" w14:textId="77777777" w:rsidR="002625F9" w:rsidRPr="00DC6133" w:rsidRDefault="002625F9" w:rsidP="002625F9">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t xml:space="preserve">Dodatkowe informacje, w tym wskazanie źródeł danych i przyjętych do obliczeń założeń </w:t>
            </w:r>
          </w:p>
        </w:tc>
        <w:tc>
          <w:tcPr>
            <w:tcW w:w="8694" w:type="dxa"/>
            <w:gridSpan w:val="27"/>
            <w:shd w:val="clear" w:color="auto" w:fill="FFFFFF"/>
            <w:vAlign w:val="center"/>
          </w:tcPr>
          <w:p w14:paraId="5043CB13" w14:textId="77777777" w:rsidR="002625F9" w:rsidRPr="00DC6133" w:rsidRDefault="002625F9" w:rsidP="002625F9">
            <w:pPr>
              <w:spacing w:before="60" w:after="60" w:line="240" w:lineRule="auto"/>
              <w:jc w:val="both"/>
              <w:rPr>
                <w:rFonts w:ascii="Times New Roman" w:eastAsia="Calibri" w:hAnsi="Times New Roman" w:cs="Times New Roman"/>
                <w:color w:val="000000"/>
              </w:rPr>
            </w:pPr>
            <w:r w:rsidRPr="00DC6133">
              <w:rPr>
                <w:rFonts w:ascii="Times New Roman" w:eastAsia="Calibri" w:hAnsi="Times New Roman" w:cs="Times New Roman"/>
                <w:color w:val="000000"/>
              </w:rPr>
              <w:t>Nie przewiduje się wpływu projektowanego rozporządzenia na konkurencyjność gospodarki i przedsiębiorczość, w tym funkcjonowanie przedsiębiorców oraz na rodzinę, obywateli i gospodarstwa domowe.</w:t>
            </w:r>
          </w:p>
        </w:tc>
      </w:tr>
      <w:tr w:rsidR="002625F9" w:rsidRPr="00DC6133" w14:paraId="6EEE9B2C" w14:textId="77777777" w:rsidTr="00F555A5">
        <w:trPr>
          <w:gridAfter w:val="1"/>
          <w:wAfter w:w="10" w:type="dxa"/>
          <w:trHeight w:val="342"/>
          <w:jc w:val="center"/>
        </w:trPr>
        <w:tc>
          <w:tcPr>
            <w:tcW w:w="10937" w:type="dxa"/>
            <w:gridSpan w:val="29"/>
            <w:shd w:val="clear" w:color="auto" w:fill="99CCFF"/>
            <w:vAlign w:val="center"/>
          </w:tcPr>
          <w:p w14:paraId="4E3F56B7" w14:textId="77777777" w:rsidR="002625F9" w:rsidRPr="00DC6133" w:rsidRDefault="002625F9" w:rsidP="002625F9">
            <w:pPr>
              <w:keepNext/>
              <w:numPr>
                <w:ilvl w:val="0"/>
                <w:numId w:val="1"/>
              </w:numPr>
              <w:spacing w:before="60" w:after="60" w:line="240" w:lineRule="auto"/>
              <w:ind w:left="318" w:hanging="284"/>
              <w:jc w:val="both"/>
              <w:rPr>
                <w:rFonts w:ascii="Times New Roman" w:eastAsia="Calibri" w:hAnsi="Times New Roman" w:cs="Times New Roman"/>
                <w:b/>
                <w:color w:val="000000"/>
              </w:rPr>
            </w:pPr>
            <w:r w:rsidRPr="00DC6133">
              <w:rPr>
                <w:rFonts w:ascii="Times New Roman" w:eastAsia="Calibri" w:hAnsi="Times New Roman" w:cs="Times New Roman"/>
                <w:b/>
                <w:color w:val="000000"/>
              </w:rPr>
              <w:lastRenderedPageBreak/>
              <w:t xml:space="preserve"> Zmiana obciążeń regulacyjnych (w tym obowiązków informacyjnych) wynikających z projektu</w:t>
            </w:r>
          </w:p>
        </w:tc>
      </w:tr>
      <w:tr w:rsidR="002625F9" w:rsidRPr="00DC6133" w14:paraId="3BDD23FC" w14:textId="77777777" w:rsidTr="00F555A5">
        <w:trPr>
          <w:gridAfter w:val="1"/>
          <w:wAfter w:w="10" w:type="dxa"/>
          <w:trHeight w:val="151"/>
          <w:jc w:val="center"/>
        </w:trPr>
        <w:tc>
          <w:tcPr>
            <w:tcW w:w="10937" w:type="dxa"/>
            <w:gridSpan w:val="29"/>
            <w:shd w:val="clear" w:color="auto" w:fill="FFFFFF"/>
          </w:tcPr>
          <w:p w14:paraId="52C3C804" w14:textId="77777777" w:rsidR="002625F9" w:rsidRPr="00DC6133" w:rsidRDefault="002625F9" w:rsidP="002625F9">
            <w:pPr>
              <w:keepNext/>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fldChar w:fldCharType="begin">
                <w:ffData>
                  <w:name w:val=""/>
                  <w:enabled/>
                  <w:calcOnExit w:val="0"/>
                  <w:checkBox>
                    <w:sizeAuto/>
                    <w:default w:val="1"/>
                  </w:checkBox>
                </w:ffData>
              </w:fldChar>
            </w:r>
            <w:r w:rsidRPr="00DC6133">
              <w:rPr>
                <w:rFonts w:ascii="Times New Roman" w:eastAsia="Calibri" w:hAnsi="Times New Roman" w:cs="Times New Roman"/>
                <w:color w:val="000000"/>
              </w:rPr>
              <w:instrText xml:space="preserve"> FORMCHECKBOX </w:instrText>
            </w:r>
            <w:r w:rsidR="007E3D61">
              <w:rPr>
                <w:rFonts w:ascii="Times New Roman" w:eastAsia="Calibri" w:hAnsi="Times New Roman" w:cs="Times New Roman"/>
                <w:color w:val="000000"/>
              </w:rPr>
            </w:r>
            <w:r w:rsidR="007E3D61">
              <w:rPr>
                <w:rFonts w:ascii="Times New Roman" w:eastAsia="Calibri" w:hAnsi="Times New Roman" w:cs="Times New Roman"/>
                <w:color w:val="000000"/>
              </w:rPr>
              <w:fldChar w:fldCharType="separate"/>
            </w:r>
            <w:r w:rsidRPr="00DC6133">
              <w:rPr>
                <w:rFonts w:ascii="Times New Roman" w:eastAsia="Calibri" w:hAnsi="Times New Roman" w:cs="Times New Roman"/>
                <w:color w:val="000000"/>
              </w:rPr>
              <w:fldChar w:fldCharType="end"/>
            </w:r>
            <w:r w:rsidRPr="00DC6133">
              <w:rPr>
                <w:rFonts w:ascii="Times New Roman" w:eastAsia="Calibri" w:hAnsi="Times New Roman" w:cs="Times New Roman"/>
                <w:color w:val="000000"/>
              </w:rPr>
              <w:t xml:space="preserve"> nie dotyczy</w:t>
            </w:r>
          </w:p>
        </w:tc>
      </w:tr>
      <w:tr w:rsidR="002625F9" w:rsidRPr="00DC6133" w14:paraId="0F699E97" w14:textId="77777777" w:rsidTr="00F555A5">
        <w:trPr>
          <w:gridAfter w:val="1"/>
          <w:wAfter w:w="10" w:type="dxa"/>
          <w:trHeight w:val="946"/>
          <w:jc w:val="center"/>
        </w:trPr>
        <w:tc>
          <w:tcPr>
            <w:tcW w:w="5111" w:type="dxa"/>
            <w:gridSpan w:val="12"/>
            <w:shd w:val="clear" w:color="auto" w:fill="FFFFFF"/>
          </w:tcPr>
          <w:p w14:paraId="2DBA4EEB" w14:textId="77777777" w:rsidR="002625F9" w:rsidRPr="00DC6133" w:rsidRDefault="002625F9" w:rsidP="002625F9">
            <w:pPr>
              <w:keepNext/>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t>Wprowadzane są obciążenia poza bezwzględnie wymaganymi przez UE (szczegóły w odwróconej tabeli zgodności).</w:t>
            </w:r>
          </w:p>
        </w:tc>
        <w:tc>
          <w:tcPr>
            <w:tcW w:w="5826" w:type="dxa"/>
            <w:gridSpan w:val="17"/>
            <w:shd w:val="clear" w:color="auto" w:fill="FFFFFF"/>
          </w:tcPr>
          <w:p w14:paraId="5F725513" w14:textId="77777777" w:rsidR="002625F9" w:rsidRPr="00DC6133" w:rsidRDefault="002625F9" w:rsidP="002625F9">
            <w:pPr>
              <w:keepNext/>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fldChar w:fldCharType="begin">
                <w:ffData>
                  <w:name w:val="Wybór1"/>
                  <w:enabled/>
                  <w:calcOnExit w:val="0"/>
                  <w:checkBox>
                    <w:sizeAuto/>
                    <w:default w:val="0"/>
                  </w:checkBox>
                </w:ffData>
              </w:fldChar>
            </w:r>
            <w:r w:rsidRPr="00DC6133">
              <w:rPr>
                <w:rFonts w:ascii="Times New Roman" w:eastAsia="Calibri" w:hAnsi="Times New Roman" w:cs="Times New Roman"/>
                <w:color w:val="000000"/>
              </w:rPr>
              <w:instrText xml:space="preserve"> FORMCHECKBOX </w:instrText>
            </w:r>
            <w:r w:rsidR="007E3D61">
              <w:rPr>
                <w:rFonts w:ascii="Times New Roman" w:eastAsia="Calibri" w:hAnsi="Times New Roman" w:cs="Times New Roman"/>
                <w:color w:val="000000"/>
              </w:rPr>
            </w:r>
            <w:r w:rsidR="007E3D61">
              <w:rPr>
                <w:rFonts w:ascii="Times New Roman" w:eastAsia="Calibri" w:hAnsi="Times New Roman" w:cs="Times New Roman"/>
                <w:color w:val="000000"/>
              </w:rPr>
              <w:fldChar w:fldCharType="separate"/>
            </w:r>
            <w:r w:rsidRPr="00DC6133">
              <w:rPr>
                <w:rFonts w:ascii="Times New Roman" w:eastAsia="Calibri" w:hAnsi="Times New Roman" w:cs="Times New Roman"/>
                <w:color w:val="000000"/>
              </w:rPr>
              <w:fldChar w:fldCharType="end"/>
            </w:r>
            <w:r w:rsidRPr="00DC6133">
              <w:rPr>
                <w:rFonts w:ascii="Times New Roman" w:eastAsia="Calibri" w:hAnsi="Times New Roman" w:cs="Times New Roman"/>
                <w:color w:val="000000"/>
              </w:rPr>
              <w:t xml:space="preserve"> tak</w:t>
            </w:r>
          </w:p>
          <w:p w14:paraId="4036B396" w14:textId="77777777" w:rsidR="002625F9" w:rsidRPr="00DC6133" w:rsidRDefault="002625F9" w:rsidP="002625F9">
            <w:pPr>
              <w:keepNext/>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fldChar w:fldCharType="begin">
                <w:ffData>
                  <w:name w:val="Wybór1"/>
                  <w:enabled/>
                  <w:calcOnExit w:val="0"/>
                  <w:checkBox>
                    <w:sizeAuto/>
                    <w:default w:val="0"/>
                  </w:checkBox>
                </w:ffData>
              </w:fldChar>
            </w:r>
            <w:r w:rsidRPr="00DC6133">
              <w:rPr>
                <w:rFonts w:ascii="Times New Roman" w:eastAsia="Calibri" w:hAnsi="Times New Roman" w:cs="Times New Roman"/>
                <w:color w:val="000000"/>
              </w:rPr>
              <w:instrText xml:space="preserve"> FORMCHECKBOX </w:instrText>
            </w:r>
            <w:r w:rsidR="007E3D61">
              <w:rPr>
                <w:rFonts w:ascii="Times New Roman" w:eastAsia="Calibri" w:hAnsi="Times New Roman" w:cs="Times New Roman"/>
                <w:color w:val="000000"/>
              </w:rPr>
            </w:r>
            <w:r w:rsidR="007E3D61">
              <w:rPr>
                <w:rFonts w:ascii="Times New Roman" w:eastAsia="Calibri" w:hAnsi="Times New Roman" w:cs="Times New Roman"/>
                <w:color w:val="000000"/>
              </w:rPr>
              <w:fldChar w:fldCharType="separate"/>
            </w:r>
            <w:r w:rsidRPr="00DC6133">
              <w:rPr>
                <w:rFonts w:ascii="Times New Roman" w:eastAsia="Calibri" w:hAnsi="Times New Roman" w:cs="Times New Roman"/>
                <w:color w:val="000000"/>
              </w:rPr>
              <w:fldChar w:fldCharType="end"/>
            </w:r>
            <w:r w:rsidRPr="00DC6133">
              <w:rPr>
                <w:rFonts w:ascii="Times New Roman" w:eastAsia="Calibri" w:hAnsi="Times New Roman" w:cs="Times New Roman"/>
                <w:color w:val="000000"/>
              </w:rPr>
              <w:t xml:space="preserve"> nie</w:t>
            </w:r>
          </w:p>
          <w:p w14:paraId="0D945ABC" w14:textId="77777777" w:rsidR="002625F9" w:rsidRPr="00DC6133" w:rsidRDefault="002625F9" w:rsidP="002625F9">
            <w:pPr>
              <w:keepNext/>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fldChar w:fldCharType="begin">
                <w:ffData>
                  <w:name w:val=""/>
                  <w:enabled/>
                  <w:calcOnExit w:val="0"/>
                  <w:checkBox>
                    <w:sizeAuto/>
                    <w:default w:val="1"/>
                  </w:checkBox>
                </w:ffData>
              </w:fldChar>
            </w:r>
            <w:r w:rsidRPr="00DC6133">
              <w:rPr>
                <w:rFonts w:ascii="Times New Roman" w:eastAsia="Calibri" w:hAnsi="Times New Roman" w:cs="Times New Roman"/>
                <w:color w:val="000000"/>
              </w:rPr>
              <w:instrText xml:space="preserve"> FORMCHECKBOX </w:instrText>
            </w:r>
            <w:r w:rsidR="007E3D61">
              <w:rPr>
                <w:rFonts w:ascii="Times New Roman" w:eastAsia="Calibri" w:hAnsi="Times New Roman" w:cs="Times New Roman"/>
                <w:color w:val="000000"/>
              </w:rPr>
            </w:r>
            <w:r w:rsidR="007E3D61">
              <w:rPr>
                <w:rFonts w:ascii="Times New Roman" w:eastAsia="Calibri" w:hAnsi="Times New Roman" w:cs="Times New Roman"/>
                <w:color w:val="000000"/>
              </w:rPr>
              <w:fldChar w:fldCharType="separate"/>
            </w:r>
            <w:r w:rsidRPr="00DC6133">
              <w:rPr>
                <w:rFonts w:ascii="Times New Roman" w:eastAsia="Calibri" w:hAnsi="Times New Roman" w:cs="Times New Roman"/>
                <w:color w:val="000000"/>
              </w:rPr>
              <w:fldChar w:fldCharType="end"/>
            </w:r>
            <w:r w:rsidRPr="00DC6133">
              <w:rPr>
                <w:rFonts w:ascii="Times New Roman" w:eastAsia="Calibri" w:hAnsi="Times New Roman" w:cs="Times New Roman"/>
                <w:color w:val="000000"/>
              </w:rPr>
              <w:t xml:space="preserve"> nie dotyczy</w:t>
            </w:r>
          </w:p>
        </w:tc>
      </w:tr>
      <w:tr w:rsidR="002625F9" w:rsidRPr="00DC6133" w14:paraId="2B313AD7" w14:textId="77777777" w:rsidTr="00F555A5">
        <w:trPr>
          <w:gridAfter w:val="1"/>
          <w:wAfter w:w="10" w:type="dxa"/>
          <w:trHeight w:val="1245"/>
          <w:jc w:val="center"/>
        </w:trPr>
        <w:tc>
          <w:tcPr>
            <w:tcW w:w="5111" w:type="dxa"/>
            <w:gridSpan w:val="12"/>
            <w:shd w:val="clear" w:color="auto" w:fill="FFFFFF"/>
          </w:tcPr>
          <w:p w14:paraId="61F5B47C" w14:textId="77777777" w:rsidR="002625F9" w:rsidRPr="00DC6133" w:rsidRDefault="002625F9" w:rsidP="002625F9">
            <w:pPr>
              <w:keepNext/>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fldChar w:fldCharType="begin">
                <w:ffData>
                  <w:name w:val="Wybór1"/>
                  <w:enabled/>
                  <w:calcOnExit w:val="0"/>
                  <w:checkBox>
                    <w:sizeAuto/>
                    <w:default w:val="0"/>
                  </w:checkBox>
                </w:ffData>
              </w:fldChar>
            </w:r>
            <w:r w:rsidRPr="00DC6133">
              <w:rPr>
                <w:rFonts w:ascii="Times New Roman" w:eastAsia="Calibri" w:hAnsi="Times New Roman" w:cs="Times New Roman"/>
                <w:color w:val="000000"/>
              </w:rPr>
              <w:instrText xml:space="preserve"> FORMCHECKBOX </w:instrText>
            </w:r>
            <w:r w:rsidR="007E3D61">
              <w:rPr>
                <w:rFonts w:ascii="Times New Roman" w:eastAsia="Calibri" w:hAnsi="Times New Roman" w:cs="Times New Roman"/>
                <w:color w:val="000000"/>
              </w:rPr>
            </w:r>
            <w:r w:rsidR="007E3D61">
              <w:rPr>
                <w:rFonts w:ascii="Times New Roman" w:eastAsia="Calibri" w:hAnsi="Times New Roman" w:cs="Times New Roman"/>
                <w:color w:val="000000"/>
              </w:rPr>
              <w:fldChar w:fldCharType="separate"/>
            </w:r>
            <w:r w:rsidRPr="00DC6133">
              <w:rPr>
                <w:rFonts w:ascii="Times New Roman" w:eastAsia="Calibri" w:hAnsi="Times New Roman" w:cs="Times New Roman"/>
                <w:color w:val="000000"/>
              </w:rPr>
              <w:fldChar w:fldCharType="end"/>
            </w:r>
            <w:r w:rsidRPr="00DC6133">
              <w:rPr>
                <w:rFonts w:ascii="Times New Roman" w:eastAsia="Calibri" w:hAnsi="Times New Roman" w:cs="Times New Roman"/>
                <w:color w:val="000000"/>
              </w:rPr>
              <w:t xml:space="preserve"> zmniejszenie liczby dokumentów </w:t>
            </w:r>
          </w:p>
          <w:p w14:paraId="2A19EAA4" w14:textId="77777777" w:rsidR="002625F9" w:rsidRPr="00DC6133" w:rsidRDefault="002625F9" w:rsidP="002625F9">
            <w:pPr>
              <w:keepNext/>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fldChar w:fldCharType="begin">
                <w:ffData>
                  <w:name w:val="Wybór1"/>
                  <w:enabled/>
                  <w:calcOnExit w:val="0"/>
                  <w:checkBox>
                    <w:sizeAuto/>
                    <w:default w:val="0"/>
                  </w:checkBox>
                </w:ffData>
              </w:fldChar>
            </w:r>
            <w:r w:rsidRPr="00DC6133">
              <w:rPr>
                <w:rFonts w:ascii="Times New Roman" w:eastAsia="Calibri" w:hAnsi="Times New Roman" w:cs="Times New Roman"/>
                <w:color w:val="000000"/>
              </w:rPr>
              <w:instrText xml:space="preserve"> FORMCHECKBOX </w:instrText>
            </w:r>
            <w:r w:rsidR="007E3D61">
              <w:rPr>
                <w:rFonts w:ascii="Times New Roman" w:eastAsia="Calibri" w:hAnsi="Times New Roman" w:cs="Times New Roman"/>
                <w:color w:val="000000"/>
              </w:rPr>
            </w:r>
            <w:r w:rsidR="007E3D61">
              <w:rPr>
                <w:rFonts w:ascii="Times New Roman" w:eastAsia="Calibri" w:hAnsi="Times New Roman" w:cs="Times New Roman"/>
                <w:color w:val="000000"/>
              </w:rPr>
              <w:fldChar w:fldCharType="separate"/>
            </w:r>
            <w:r w:rsidRPr="00DC6133">
              <w:rPr>
                <w:rFonts w:ascii="Times New Roman" w:eastAsia="Calibri" w:hAnsi="Times New Roman" w:cs="Times New Roman"/>
                <w:color w:val="000000"/>
              </w:rPr>
              <w:fldChar w:fldCharType="end"/>
            </w:r>
            <w:r w:rsidRPr="00DC6133">
              <w:rPr>
                <w:rFonts w:ascii="Times New Roman" w:eastAsia="Calibri" w:hAnsi="Times New Roman" w:cs="Times New Roman"/>
                <w:color w:val="000000"/>
              </w:rPr>
              <w:t xml:space="preserve"> zmniejszenie liczby procedur</w:t>
            </w:r>
          </w:p>
          <w:p w14:paraId="3F4B5724" w14:textId="77777777" w:rsidR="002625F9" w:rsidRPr="00DC6133" w:rsidRDefault="002625F9" w:rsidP="002625F9">
            <w:pPr>
              <w:keepNext/>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fldChar w:fldCharType="begin">
                <w:ffData>
                  <w:name w:val=""/>
                  <w:enabled/>
                  <w:calcOnExit w:val="0"/>
                  <w:checkBox>
                    <w:sizeAuto/>
                    <w:default w:val="0"/>
                  </w:checkBox>
                </w:ffData>
              </w:fldChar>
            </w:r>
            <w:r w:rsidRPr="00DC6133">
              <w:rPr>
                <w:rFonts w:ascii="Times New Roman" w:eastAsia="Calibri" w:hAnsi="Times New Roman" w:cs="Times New Roman"/>
                <w:color w:val="000000"/>
              </w:rPr>
              <w:instrText xml:space="preserve"> FORMCHECKBOX </w:instrText>
            </w:r>
            <w:r w:rsidR="007E3D61">
              <w:rPr>
                <w:rFonts w:ascii="Times New Roman" w:eastAsia="Calibri" w:hAnsi="Times New Roman" w:cs="Times New Roman"/>
                <w:color w:val="000000"/>
              </w:rPr>
            </w:r>
            <w:r w:rsidR="007E3D61">
              <w:rPr>
                <w:rFonts w:ascii="Times New Roman" w:eastAsia="Calibri" w:hAnsi="Times New Roman" w:cs="Times New Roman"/>
                <w:color w:val="000000"/>
              </w:rPr>
              <w:fldChar w:fldCharType="separate"/>
            </w:r>
            <w:r w:rsidRPr="00DC6133">
              <w:rPr>
                <w:rFonts w:ascii="Times New Roman" w:eastAsia="Calibri" w:hAnsi="Times New Roman" w:cs="Times New Roman"/>
                <w:color w:val="000000"/>
              </w:rPr>
              <w:fldChar w:fldCharType="end"/>
            </w:r>
            <w:r w:rsidRPr="00DC6133">
              <w:rPr>
                <w:rFonts w:ascii="Times New Roman" w:eastAsia="Calibri" w:hAnsi="Times New Roman" w:cs="Times New Roman"/>
                <w:color w:val="000000"/>
              </w:rPr>
              <w:t xml:space="preserve"> skrócenie czasu na załatwienie sprawy</w:t>
            </w:r>
          </w:p>
          <w:p w14:paraId="485AD772" w14:textId="77777777" w:rsidR="002625F9" w:rsidRPr="00DC6133" w:rsidRDefault="002625F9" w:rsidP="002625F9">
            <w:pPr>
              <w:keepNext/>
              <w:spacing w:before="60" w:after="60" w:line="240" w:lineRule="auto"/>
              <w:rPr>
                <w:rFonts w:ascii="Times New Roman" w:eastAsia="Calibri" w:hAnsi="Times New Roman" w:cs="Times New Roman"/>
                <w:b/>
                <w:color w:val="000000"/>
              </w:rPr>
            </w:pPr>
            <w:r w:rsidRPr="00DC6133">
              <w:rPr>
                <w:rFonts w:ascii="Times New Roman" w:eastAsia="Calibri" w:hAnsi="Times New Roman" w:cs="Times New Roman"/>
                <w:color w:val="000000"/>
              </w:rPr>
              <w:fldChar w:fldCharType="begin">
                <w:ffData>
                  <w:name w:val="Wybór1"/>
                  <w:enabled/>
                  <w:calcOnExit w:val="0"/>
                  <w:checkBox>
                    <w:sizeAuto/>
                    <w:default w:val="0"/>
                  </w:checkBox>
                </w:ffData>
              </w:fldChar>
            </w:r>
            <w:r w:rsidRPr="00DC6133">
              <w:rPr>
                <w:rFonts w:ascii="Times New Roman" w:eastAsia="Calibri" w:hAnsi="Times New Roman" w:cs="Times New Roman"/>
                <w:color w:val="000000"/>
              </w:rPr>
              <w:instrText xml:space="preserve"> FORMCHECKBOX </w:instrText>
            </w:r>
            <w:r w:rsidR="007E3D61">
              <w:rPr>
                <w:rFonts w:ascii="Times New Roman" w:eastAsia="Calibri" w:hAnsi="Times New Roman" w:cs="Times New Roman"/>
                <w:color w:val="000000"/>
              </w:rPr>
            </w:r>
            <w:r w:rsidR="007E3D61">
              <w:rPr>
                <w:rFonts w:ascii="Times New Roman" w:eastAsia="Calibri" w:hAnsi="Times New Roman" w:cs="Times New Roman"/>
                <w:color w:val="000000"/>
              </w:rPr>
              <w:fldChar w:fldCharType="separate"/>
            </w:r>
            <w:r w:rsidRPr="00DC6133">
              <w:rPr>
                <w:rFonts w:ascii="Times New Roman" w:eastAsia="Calibri" w:hAnsi="Times New Roman" w:cs="Times New Roman"/>
                <w:color w:val="000000"/>
              </w:rPr>
              <w:fldChar w:fldCharType="end"/>
            </w:r>
            <w:r w:rsidRPr="00DC6133">
              <w:rPr>
                <w:rFonts w:ascii="Times New Roman" w:eastAsia="Calibri" w:hAnsi="Times New Roman" w:cs="Times New Roman"/>
                <w:color w:val="000000"/>
              </w:rPr>
              <w:t xml:space="preserve"> inne: </w:t>
            </w:r>
          </w:p>
        </w:tc>
        <w:tc>
          <w:tcPr>
            <w:tcW w:w="5826" w:type="dxa"/>
            <w:gridSpan w:val="17"/>
            <w:shd w:val="clear" w:color="auto" w:fill="FFFFFF"/>
          </w:tcPr>
          <w:p w14:paraId="6008024F" w14:textId="77777777" w:rsidR="002625F9" w:rsidRPr="00DC6133" w:rsidRDefault="002625F9" w:rsidP="002625F9">
            <w:pPr>
              <w:keepNext/>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fldChar w:fldCharType="begin">
                <w:ffData>
                  <w:name w:val="Wybór1"/>
                  <w:enabled/>
                  <w:calcOnExit w:val="0"/>
                  <w:checkBox>
                    <w:sizeAuto/>
                    <w:default w:val="0"/>
                  </w:checkBox>
                </w:ffData>
              </w:fldChar>
            </w:r>
            <w:r w:rsidRPr="00DC6133">
              <w:rPr>
                <w:rFonts w:ascii="Times New Roman" w:eastAsia="Calibri" w:hAnsi="Times New Roman" w:cs="Times New Roman"/>
                <w:color w:val="000000"/>
              </w:rPr>
              <w:instrText xml:space="preserve"> FORMCHECKBOX </w:instrText>
            </w:r>
            <w:r w:rsidR="007E3D61">
              <w:rPr>
                <w:rFonts w:ascii="Times New Roman" w:eastAsia="Calibri" w:hAnsi="Times New Roman" w:cs="Times New Roman"/>
                <w:color w:val="000000"/>
              </w:rPr>
            </w:r>
            <w:r w:rsidR="007E3D61">
              <w:rPr>
                <w:rFonts w:ascii="Times New Roman" w:eastAsia="Calibri" w:hAnsi="Times New Roman" w:cs="Times New Roman"/>
                <w:color w:val="000000"/>
              </w:rPr>
              <w:fldChar w:fldCharType="separate"/>
            </w:r>
            <w:r w:rsidRPr="00DC6133">
              <w:rPr>
                <w:rFonts w:ascii="Times New Roman" w:eastAsia="Calibri" w:hAnsi="Times New Roman" w:cs="Times New Roman"/>
                <w:color w:val="000000"/>
              </w:rPr>
              <w:fldChar w:fldCharType="end"/>
            </w:r>
            <w:r w:rsidRPr="00DC6133">
              <w:rPr>
                <w:rFonts w:ascii="Times New Roman" w:eastAsia="Calibri" w:hAnsi="Times New Roman" w:cs="Times New Roman"/>
                <w:color w:val="000000"/>
              </w:rPr>
              <w:t xml:space="preserve"> zwiększenie liczby dokumentów</w:t>
            </w:r>
          </w:p>
          <w:p w14:paraId="2E4D7EFF" w14:textId="77777777" w:rsidR="002625F9" w:rsidRPr="00DC6133" w:rsidRDefault="002625F9" w:rsidP="002625F9">
            <w:pPr>
              <w:keepNext/>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fldChar w:fldCharType="begin">
                <w:ffData>
                  <w:name w:val="Wybór1"/>
                  <w:enabled/>
                  <w:calcOnExit w:val="0"/>
                  <w:checkBox>
                    <w:sizeAuto/>
                    <w:default w:val="0"/>
                  </w:checkBox>
                </w:ffData>
              </w:fldChar>
            </w:r>
            <w:r w:rsidRPr="00DC6133">
              <w:rPr>
                <w:rFonts w:ascii="Times New Roman" w:eastAsia="Calibri" w:hAnsi="Times New Roman" w:cs="Times New Roman"/>
                <w:color w:val="000000"/>
              </w:rPr>
              <w:instrText xml:space="preserve"> FORMCHECKBOX </w:instrText>
            </w:r>
            <w:r w:rsidR="007E3D61">
              <w:rPr>
                <w:rFonts w:ascii="Times New Roman" w:eastAsia="Calibri" w:hAnsi="Times New Roman" w:cs="Times New Roman"/>
                <w:color w:val="000000"/>
              </w:rPr>
            </w:r>
            <w:r w:rsidR="007E3D61">
              <w:rPr>
                <w:rFonts w:ascii="Times New Roman" w:eastAsia="Calibri" w:hAnsi="Times New Roman" w:cs="Times New Roman"/>
                <w:color w:val="000000"/>
              </w:rPr>
              <w:fldChar w:fldCharType="separate"/>
            </w:r>
            <w:r w:rsidRPr="00DC6133">
              <w:rPr>
                <w:rFonts w:ascii="Times New Roman" w:eastAsia="Calibri" w:hAnsi="Times New Roman" w:cs="Times New Roman"/>
                <w:color w:val="000000"/>
              </w:rPr>
              <w:fldChar w:fldCharType="end"/>
            </w:r>
            <w:r w:rsidRPr="00DC6133">
              <w:rPr>
                <w:rFonts w:ascii="Times New Roman" w:eastAsia="Calibri" w:hAnsi="Times New Roman" w:cs="Times New Roman"/>
                <w:color w:val="000000"/>
              </w:rPr>
              <w:t xml:space="preserve"> zwiększenie liczby procedur</w:t>
            </w:r>
          </w:p>
          <w:p w14:paraId="6E0DBE7F" w14:textId="77777777" w:rsidR="002625F9" w:rsidRPr="00DC6133" w:rsidRDefault="002625F9" w:rsidP="002625F9">
            <w:pPr>
              <w:keepNext/>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fldChar w:fldCharType="begin">
                <w:ffData>
                  <w:name w:val="Wybór1"/>
                  <w:enabled/>
                  <w:calcOnExit w:val="0"/>
                  <w:checkBox>
                    <w:sizeAuto/>
                    <w:default w:val="0"/>
                  </w:checkBox>
                </w:ffData>
              </w:fldChar>
            </w:r>
            <w:r w:rsidRPr="00DC6133">
              <w:rPr>
                <w:rFonts w:ascii="Times New Roman" w:eastAsia="Calibri" w:hAnsi="Times New Roman" w:cs="Times New Roman"/>
                <w:color w:val="000000"/>
              </w:rPr>
              <w:instrText xml:space="preserve"> FORMCHECKBOX </w:instrText>
            </w:r>
            <w:r w:rsidR="007E3D61">
              <w:rPr>
                <w:rFonts w:ascii="Times New Roman" w:eastAsia="Calibri" w:hAnsi="Times New Roman" w:cs="Times New Roman"/>
                <w:color w:val="000000"/>
              </w:rPr>
            </w:r>
            <w:r w:rsidR="007E3D61">
              <w:rPr>
                <w:rFonts w:ascii="Times New Roman" w:eastAsia="Calibri" w:hAnsi="Times New Roman" w:cs="Times New Roman"/>
                <w:color w:val="000000"/>
              </w:rPr>
              <w:fldChar w:fldCharType="separate"/>
            </w:r>
            <w:r w:rsidRPr="00DC6133">
              <w:rPr>
                <w:rFonts w:ascii="Times New Roman" w:eastAsia="Calibri" w:hAnsi="Times New Roman" w:cs="Times New Roman"/>
                <w:color w:val="000000"/>
              </w:rPr>
              <w:fldChar w:fldCharType="end"/>
            </w:r>
            <w:r w:rsidRPr="00DC6133">
              <w:rPr>
                <w:rFonts w:ascii="Times New Roman" w:eastAsia="Calibri" w:hAnsi="Times New Roman" w:cs="Times New Roman"/>
                <w:color w:val="000000"/>
              </w:rPr>
              <w:t xml:space="preserve"> wydłużenie czasu na załatwienie sprawy</w:t>
            </w:r>
          </w:p>
          <w:p w14:paraId="20520161" w14:textId="77777777" w:rsidR="002625F9" w:rsidRPr="00DC6133" w:rsidRDefault="002625F9" w:rsidP="002625F9">
            <w:pPr>
              <w:keepNext/>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fldChar w:fldCharType="begin">
                <w:ffData>
                  <w:name w:val="Wybór1"/>
                  <w:enabled/>
                  <w:calcOnExit w:val="0"/>
                  <w:checkBox>
                    <w:sizeAuto/>
                    <w:default w:val="0"/>
                  </w:checkBox>
                </w:ffData>
              </w:fldChar>
            </w:r>
            <w:r w:rsidRPr="00DC6133">
              <w:rPr>
                <w:rFonts w:ascii="Times New Roman" w:eastAsia="Calibri" w:hAnsi="Times New Roman" w:cs="Times New Roman"/>
                <w:color w:val="000000"/>
              </w:rPr>
              <w:instrText xml:space="preserve"> FORMCHECKBOX </w:instrText>
            </w:r>
            <w:r w:rsidR="007E3D61">
              <w:rPr>
                <w:rFonts w:ascii="Times New Roman" w:eastAsia="Calibri" w:hAnsi="Times New Roman" w:cs="Times New Roman"/>
                <w:color w:val="000000"/>
              </w:rPr>
            </w:r>
            <w:r w:rsidR="007E3D61">
              <w:rPr>
                <w:rFonts w:ascii="Times New Roman" w:eastAsia="Calibri" w:hAnsi="Times New Roman" w:cs="Times New Roman"/>
                <w:color w:val="000000"/>
              </w:rPr>
              <w:fldChar w:fldCharType="separate"/>
            </w:r>
            <w:r w:rsidRPr="00DC6133">
              <w:rPr>
                <w:rFonts w:ascii="Times New Roman" w:eastAsia="Calibri" w:hAnsi="Times New Roman" w:cs="Times New Roman"/>
                <w:color w:val="000000"/>
              </w:rPr>
              <w:fldChar w:fldCharType="end"/>
            </w:r>
            <w:r w:rsidRPr="00DC6133">
              <w:rPr>
                <w:rFonts w:ascii="Times New Roman" w:eastAsia="Calibri" w:hAnsi="Times New Roman" w:cs="Times New Roman"/>
                <w:color w:val="000000"/>
              </w:rPr>
              <w:t xml:space="preserve"> inne: </w:t>
            </w:r>
          </w:p>
          <w:p w14:paraId="050BA7CE" w14:textId="77777777" w:rsidR="002625F9" w:rsidRPr="00DC6133" w:rsidRDefault="002625F9" w:rsidP="002625F9">
            <w:pPr>
              <w:keepNext/>
              <w:spacing w:before="60" w:after="60" w:line="240" w:lineRule="auto"/>
              <w:rPr>
                <w:rFonts w:ascii="Times New Roman" w:eastAsia="Calibri" w:hAnsi="Times New Roman" w:cs="Times New Roman"/>
                <w:color w:val="000000"/>
              </w:rPr>
            </w:pPr>
          </w:p>
        </w:tc>
      </w:tr>
      <w:tr w:rsidR="002625F9" w:rsidRPr="00DC6133" w14:paraId="2A29D829" w14:textId="77777777" w:rsidTr="00F555A5">
        <w:trPr>
          <w:gridAfter w:val="1"/>
          <w:wAfter w:w="10" w:type="dxa"/>
          <w:trHeight w:val="870"/>
          <w:jc w:val="center"/>
        </w:trPr>
        <w:tc>
          <w:tcPr>
            <w:tcW w:w="5111" w:type="dxa"/>
            <w:gridSpan w:val="12"/>
            <w:shd w:val="clear" w:color="auto" w:fill="FFFFFF"/>
          </w:tcPr>
          <w:p w14:paraId="1AAB1C01" w14:textId="77777777" w:rsidR="002625F9" w:rsidRPr="00DC6133" w:rsidRDefault="002625F9" w:rsidP="002625F9">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t xml:space="preserve">Wprowadzane obciążenia są przystosowane do ich elektronizacji. </w:t>
            </w:r>
          </w:p>
        </w:tc>
        <w:tc>
          <w:tcPr>
            <w:tcW w:w="5826" w:type="dxa"/>
            <w:gridSpan w:val="17"/>
            <w:shd w:val="clear" w:color="auto" w:fill="FFFFFF"/>
          </w:tcPr>
          <w:p w14:paraId="315E1A4C" w14:textId="77777777" w:rsidR="002625F9" w:rsidRPr="00DC6133" w:rsidRDefault="002625F9" w:rsidP="002625F9">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fldChar w:fldCharType="begin">
                <w:ffData>
                  <w:name w:val="Wybór1"/>
                  <w:enabled/>
                  <w:calcOnExit w:val="0"/>
                  <w:checkBox>
                    <w:sizeAuto/>
                    <w:default w:val="0"/>
                  </w:checkBox>
                </w:ffData>
              </w:fldChar>
            </w:r>
            <w:r w:rsidRPr="00DC6133">
              <w:rPr>
                <w:rFonts w:ascii="Times New Roman" w:eastAsia="Calibri" w:hAnsi="Times New Roman" w:cs="Times New Roman"/>
                <w:color w:val="000000"/>
              </w:rPr>
              <w:instrText xml:space="preserve"> FORMCHECKBOX </w:instrText>
            </w:r>
            <w:r w:rsidR="007E3D61">
              <w:rPr>
                <w:rFonts w:ascii="Times New Roman" w:eastAsia="Calibri" w:hAnsi="Times New Roman" w:cs="Times New Roman"/>
                <w:color w:val="000000"/>
              </w:rPr>
            </w:r>
            <w:r w:rsidR="007E3D61">
              <w:rPr>
                <w:rFonts w:ascii="Times New Roman" w:eastAsia="Calibri" w:hAnsi="Times New Roman" w:cs="Times New Roman"/>
                <w:color w:val="000000"/>
              </w:rPr>
              <w:fldChar w:fldCharType="separate"/>
            </w:r>
            <w:r w:rsidRPr="00DC6133">
              <w:rPr>
                <w:rFonts w:ascii="Times New Roman" w:eastAsia="Calibri" w:hAnsi="Times New Roman" w:cs="Times New Roman"/>
                <w:color w:val="000000"/>
              </w:rPr>
              <w:fldChar w:fldCharType="end"/>
            </w:r>
            <w:r w:rsidRPr="00DC6133">
              <w:rPr>
                <w:rFonts w:ascii="Times New Roman" w:eastAsia="Calibri" w:hAnsi="Times New Roman" w:cs="Times New Roman"/>
                <w:color w:val="000000"/>
              </w:rPr>
              <w:t xml:space="preserve"> tak</w:t>
            </w:r>
          </w:p>
          <w:p w14:paraId="0223977A" w14:textId="77777777" w:rsidR="002625F9" w:rsidRPr="00DC6133" w:rsidRDefault="002625F9" w:rsidP="002625F9">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fldChar w:fldCharType="begin">
                <w:ffData>
                  <w:name w:val="Wybór1"/>
                  <w:enabled/>
                  <w:calcOnExit w:val="0"/>
                  <w:checkBox>
                    <w:sizeAuto/>
                    <w:default w:val="0"/>
                  </w:checkBox>
                </w:ffData>
              </w:fldChar>
            </w:r>
            <w:r w:rsidRPr="00DC6133">
              <w:rPr>
                <w:rFonts w:ascii="Times New Roman" w:eastAsia="Calibri" w:hAnsi="Times New Roman" w:cs="Times New Roman"/>
                <w:color w:val="000000"/>
              </w:rPr>
              <w:instrText xml:space="preserve"> FORMCHECKBOX </w:instrText>
            </w:r>
            <w:r w:rsidR="007E3D61">
              <w:rPr>
                <w:rFonts w:ascii="Times New Roman" w:eastAsia="Calibri" w:hAnsi="Times New Roman" w:cs="Times New Roman"/>
                <w:color w:val="000000"/>
              </w:rPr>
            </w:r>
            <w:r w:rsidR="007E3D61">
              <w:rPr>
                <w:rFonts w:ascii="Times New Roman" w:eastAsia="Calibri" w:hAnsi="Times New Roman" w:cs="Times New Roman"/>
                <w:color w:val="000000"/>
              </w:rPr>
              <w:fldChar w:fldCharType="separate"/>
            </w:r>
            <w:r w:rsidRPr="00DC6133">
              <w:rPr>
                <w:rFonts w:ascii="Times New Roman" w:eastAsia="Calibri" w:hAnsi="Times New Roman" w:cs="Times New Roman"/>
                <w:color w:val="000000"/>
              </w:rPr>
              <w:fldChar w:fldCharType="end"/>
            </w:r>
            <w:r w:rsidRPr="00DC6133">
              <w:rPr>
                <w:rFonts w:ascii="Times New Roman" w:eastAsia="Calibri" w:hAnsi="Times New Roman" w:cs="Times New Roman"/>
                <w:color w:val="000000"/>
              </w:rPr>
              <w:t xml:space="preserve"> nie</w:t>
            </w:r>
          </w:p>
          <w:p w14:paraId="2A76C9D6" w14:textId="77777777" w:rsidR="002625F9" w:rsidRPr="00DC6133" w:rsidRDefault="002625F9" w:rsidP="002625F9">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fldChar w:fldCharType="begin">
                <w:ffData>
                  <w:name w:val=""/>
                  <w:enabled/>
                  <w:calcOnExit w:val="0"/>
                  <w:checkBox>
                    <w:sizeAuto/>
                    <w:default w:val="1"/>
                  </w:checkBox>
                </w:ffData>
              </w:fldChar>
            </w:r>
            <w:r w:rsidRPr="00DC6133">
              <w:rPr>
                <w:rFonts w:ascii="Times New Roman" w:eastAsia="Calibri" w:hAnsi="Times New Roman" w:cs="Times New Roman"/>
                <w:color w:val="000000"/>
              </w:rPr>
              <w:instrText xml:space="preserve"> FORMCHECKBOX </w:instrText>
            </w:r>
            <w:r w:rsidR="007E3D61">
              <w:rPr>
                <w:rFonts w:ascii="Times New Roman" w:eastAsia="Calibri" w:hAnsi="Times New Roman" w:cs="Times New Roman"/>
                <w:color w:val="000000"/>
              </w:rPr>
            </w:r>
            <w:r w:rsidR="007E3D61">
              <w:rPr>
                <w:rFonts w:ascii="Times New Roman" w:eastAsia="Calibri" w:hAnsi="Times New Roman" w:cs="Times New Roman"/>
                <w:color w:val="000000"/>
              </w:rPr>
              <w:fldChar w:fldCharType="separate"/>
            </w:r>
            <w:r w:rsidRPr="00DC6133">
              <w:rPr>
                <w:rFonts w:ascii="Times New Roman" w:eastAsia="Calibri" w:hAnsi="Times New Roman" w:cs="Times New Roman"/>
                <w:color w:val="000000"/>
              </w:rPr>
              <w:fldChar w:fldCharType="end"/>
            </w:r>
            <w:r w:rsidRPr="00DC6133">
              <w:rPr>
                <w:rFonts w:ascii="Times New Roman" w:eastAsia="Calibri" w:hAnsi="Times New Roman" w:cs="Times New Roman"/>
                <w:color w:val="000000"/>
              </w:rPr>
              <w:t xml:space="preserve"> nie dotyczy</w:t>
            </w:r>
          </w:p>
        </w:tc>
      </w:tr>
      <w:tr w:rsidR="002625F9" w:rsidRPr="00DC6133" w14:paraId="3F0530D8" w14:textId="77777777" w:rsidTr="00F555A5">
        <w:trPr>
          <w:gridAfter w:val="1"/>
          <w:wAfter w:w="10" w:type="dxa"/>
          <w:trHeight w:val="630"/>
          <w:jc w:val="center"/>
        </w:trPr>
        <w:tc>
          <w:tcPr>
            <w:tcW w:w="10937" w:type="dxa"/>
            <w:gridSpan w:val="29"/>
            <w:shd w:val="clear" w:color="auto" w:fill="FFFFFF"/>
          </w:tcPr>
          <w:p w14:paraId="225656F7" w14:textId="77777777" w:rsidR="002625F9" w:rsidRPr="00DC6133" w:rsidRDefault="002625F9" w:rsidP="002625F9">
            <w:pPr>
              <w:spacing w:before="60" w:after="60" w:line="240" w:lineRule="auto"/>
              <w:jc w:val="both"/>
              <w:rPr>
                <w:rFonts w:ascii="Times New Roman" w:eastAsia="Calibri" w:hAnsi="Times New Roman" w:cs="Times New Roman"/>
                <w:color w:val="000000"/>
              </w:rPr>
            </w:pPr>
            <w:r w:rsidRPr="00DC6133">
              <w:rPr>
                <w:rFonts w:ascii="Times New Roman" w:eastAsia="Calibri" w:hAnsi="Times New Roman" w:cs="Times New Roman"/>
                <w:color w:val="000000"/>
              </w:rPr>
              <w:t xml:space="preserve">Komentarz: </w:t>
            </w:r>
          </w:p>
          <w:p w14:paraId="655312CD" w14:textId="77777777" w:rsidR="002625F9" w:rsidRPr="00DC6133" w:rsidRDefault="002625F9" w:rsidP="002625F9">
            <w:pPr>
              <w:spacing w:before="60" w:after="60" w:line="240" w:lineRule="auto"/>
              <w:jc w:val="both"/>
              <w:rPr>
                <w:rFonts w:ascii="Times New Roman" w:eastAsia="Calibri" w:hAnsi="Times New Roman" w:cs="Times New Roman"/>
                <w:color w:val="000000"/>
              </w:rPr>
            </w:pPr>
            <w:r w:rsidRPr="00DC6133">
              <w:rPr>
                <w:rFonts w:ascii="Times New Roman" w:eastAsia="Calibri" w:hAnsi="Times New Roman" w:cs="Times New Roman"/>
                <w:color w:val="000000"/>
              </w:rPr>
              <w:t>Nie przewiduje się wpływu projektowanego rozporządzenia w zakresie obciążeń regulacyjnych.</w:t>
            </w:r>
          </w:p>
        </w:tc>
      </w:tr>
      <w:tr w:rsidR="002625F9" w:rsidRPr="00DC6133" w14:paraId="4DCC2DBA" w14:textId="77777777" w:rsidTr="00F555A5">
        <w:trPr>
          <w:gridAfter w:val="1"/>
          <w:wAfter w:w="10" w:type="dxa"/>
          <w:trHeight w:val="142"/>
          <w:jc w:val="center"/>
        </w:trPr>
        <w:tc>
          <w:tcPr>
            <w:tcW w:w="10937" w:type="dxa"/>
            <w:gridSpan w:val="29"/>
            <w:shd w:val="clear" w:color="auto" w:fill="99CCFF"/>
          </w:tcPr>
          <w:p w14:paraId="452F974D" w14:textId="77777777" w:rsidR="002625F9" w:rsidRPr="00DC6133" w:rsidRDefault="002625F9" w:rsidP="002625F9">
            <w:pPr>
              <w:numPr>
                <w:ilvl w:val="0"/>
                <w:numId w:val="1"/>
              </w:numPr>
              <w:tabs>
                <w:tab w:val="clear" w:pos="360"/>
              </w:tabs>
              <w:spacing w:before="60" w:after="60" w:line="240" w:lineRule="auto"/>
              <w:ind w:left="378" w:hanging="344"/>
              <w:jc w:val="both"/>
              <w:rPr>
                <w:rFonts w:ascii="Times New Roman" w:eastAsia="Calibri" w:hAnsi="Times New Roman" w:cs="Times New Roman"/>
                <w:b/>
                <w:color w:val="000000"/>
              </w:rPr>
            </w:pPr>
            <w:r w:rsidRPr="00DC6133">
              <w:rPr>
                <w:rFonts w:ascii="Times New Roman" w:eastAsia="Calibri" w:hAnsi="Times New Roman" w:cs="Times New Roman"/>
                <w:b/>
                <w:color w:val="000000"/>
              </w:rPr>
              <w:t xml:space="preserve">Wpływ na rynek pracy </w:t>
            </w:r>
          </w:p>
        </w:tc>
      </w:tr>
      <w:tr w:rsidR="002625F9" w:rsidRPr="00DC6133" w14:paraId="6C0B1F1D" w14:textId="77777777" w:rsidTr="00F555A5">
        <w:trPr>
          <w:gridAfter w:val="1"/>
          <w:wAfter w:w="10" w:type="dxa"/>
          <w:trHeight w:val="142"/>
          <w:jc w:val="center"/>
        </w:trPr>
        <w:tc>
          <w:tcPr>
            <w:tcW w:w="10937" w:type="dxa"/>
            <w:gridSpan w:val="29"/>
            <w:shd w:val="clear" w:color="auto" w:fill="auto"/>
          </w:tcPr>
          <w:p w14:paraId="2D0320B9" w14:textId="77777777" w:rsidR="002625F9" w:rsidRPr="00DC6133" w:rsidRDefault="002625F9" w:rsidP="002625F9">
            <w:pPr>
              <w:spacing w:before="60" w:after="60" w:line="240" w:lineRule="auto"/>
              <w:jc w:val="both"/>
              <w:rPr>
                <w:rFonts w:ascii="Times New Roman" w:eastAsia="Calibri" w:hAnsi="Times New Roman" w:cs="Times New Roman"/>
                <w:color w:val="000000"/>
              </w:rPr>
            </w:pPr>
            <w:r w:rsidRPr="00DC6133">
              <w:rPr>
                <w:rFonts w:ascii="Times New Roman" w:eastAsia="Calibri" w:hAnsi="Times New Roman" w:cs="Times New Roman"/>
                <w:color w:val="000000"/>
              </w:rPr>
              <w:t>Nie przewiduje się wpływu projektowanego rozporządzenia na rynek pracy.</w:t>
            </w:r>
          </w:p>
        </w:tc>
      </w:tr>
      <w:tr w:rsidR="002625F9" w:rsidRPr="00DC6133" w14:paraId="2C197661" w14:textId="77777777" w:rsidTr="00F555A5">
        <w:trPr>
          <w:gridAfter w:val="1"/>
          <w:wAfter w:w="10" w:type="dxa"/>
          <w:trHeight w:val="142"/>
          <w:jc w:val="center"/>
        </w:trPr>
        <w:tc>
          <w:tcPr>
            <w:tcW w:w="10937" w:type="dxa"/>
            <w:gridSpan w:val="29"/>
            <w:shd w:val="clear" w:color="auto" w:fill="99CCFF"/>
          </w:tcPr>
          <w:p w14:paraId="01B58770" w14:textId="77777777" w:rsidR="002625F9" w:rsidRPr="00DC6133" w:rsidRDefault="002625F9" w:rsidP="002625F9">
            <w:pPr>
              <w:numPr>
                <w:ilvl w:val="0"/>
                <w:numId w:val="1"/>
              </w:numPr>
              <w:tabs>
                <w:tab w:val="clear" w:pos="360"/>
              </w:tabs>
              <w:spacing w:before="60" w:after="60" w:line="240" w:lineRule="auto"/>
              <w:ind w:left="378" w:hanging="344"/>
              <w:jc w:val="both"/>
              <w:rPr>
                <w:rFonts w:ascii="Times New Roman" w:eastAsia="Calibri" w:hAnsi="Times New Roman" w:cs="Times New Roman"/>
                <w:b/>
                <w:color w:val="000000"/>
              </w:rPr>
            </w:pPr>
            <w:r w:rsidRPr="00DC6133">
              <w:rPr>
                <w:rFonts w:ascii="Times New Roman" w:eastAsia="Calibri" w:hAnsi="Times New Roman" w:cs="Times New Roman"/>
                <w:b/>
                <w:color w:val="000000"/>
              </w:rPr>
              <w:t>Wpływ na pozostałe obszary</w:t>
            </w:r>
          </w:p>
        </w:tc>
      </w:tr>
      <w:tr w:rsidR="002625F9" w:rsidRPr="00DC6133" w14:paraId="16F869EA" w14:textId="77777777" w:rsidTr="00F555A5">
        <w:trPr>
          <w:gridAfter w:val="1"/>
          <w:wAfter w:w="10" w:type="dxa"/>
          <w:trHeight w:val="1031"/>
          <w:jc w:val="center"/>
        </w:trPr>
        <w:tc>
          <w:tcPr>
            <w:tcW w:w="3547" w:type="dxa"/>
            <w:gridSpan w:val="5"/>
            <w:shd w:val="clear" w:color="auto" w:fill="FFFFFF"/>
          </w:tcPr>
          <w:p w14:paraId="67DF44E6" w14:textId="77777777" w:rsidR="002625F9" w:rsidRPr="00DC6133" w:rsidRDefault="002625F9" w:rsidP="002625F9">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fldChar w:fldCharType="begin">
                <w:ffData>
                  <w:name w:val="Wybór1"/>
                  <w:enabled/>
                  <w:calcOnExit w:val="0"/>
                  <w:checkBox>
                    <w:sizeAuto/>
                    <w:default w:val="0"/>
                  </w:checkBox>
                </w:ffData>
              </w:fldChar>
            </w:r>
            <w:r w:rsidRPr="00DC6133">
              <w:rPr>
                <w:rFonts w:ascii="Times New Roman" w:eastAsia="Calibri" w:hAnsi="Times New Roman" w:cs="Times New Roman"/>
                <w:color w:val="000000"/>
              </w:rPr>
              <w:instrText xml:space="preserve"> FORMCHECKBOX </w:instrText>
            </w:r>
            <w:r w:rsidR="007E3D61">
              <w:rPr>
                <w:rFonts w:ascii="Times New Roman" w:eastAsia="Calibri" w:hAnsi="Times New Roman" w:cs="Times New Roman"/>
                <w:color w:val="000000"/>
              </w:rPr>
            </w:r>
            <w:r w:rsidR="007E3D61">
              <w:rPr>
                <w:rFonts w:ascii="Times New Roman" w:eastAsia="Calibri" w:hAnsi="Times New Roman" w:cs="Times New Roman"/>
                <w:color w:val="000000"/>
              </w:rPr>
              <w:fldChar w:fldCharType="separate"/>
            </w:r>
            <w:r w:rsidRPr="00DC6133">
              <w:rPr>
                <w:rFonts w:ascii="Times New Roman" w:eastAsia="Calibri" w:hAnsi="Times New Roman" w:cs="Times New Roman"/>
                <w:color w:val="000000"/>
              </w:rPr>
              <w:fldChar w:fldCharType="end"/>
            </w:r>
            <w:r w:rsidRPr="00DC6133">
              <w:rPr>
                <w:rFonts w:ascii="Times New Roman" w:eastAsia="Calibri" w:hAnsi="Times New Roman" w:cs="Times New Roman"/>
                <w:color w:val="000000"/>
              </w:rPr>
              <w:t xml:space="preserve"> środowisko naturalne</w:t>
            </w:r>
          </w:p>
          <w:p w14:paraId="7B631E57" w14:textId="1CC258E8" w:rsidR="002625F9" w:rsidRDefault="002625F9" w:rsidP="002625F9">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fldChar w:fldCharType="begin">
                <w:ffData>
                  <w:name w:val=""/>
                  <w:enabled/>
                  <w:calcOnExit w:val="0"/>
                  <w:checkBox>
                    <w:sizeAuto/>
                    <w:default w:val="0"/>
                  </w:checkBox>
                </w:ffData>
              </w:fldChar>
            </w:r>
            <w:r w:rsidRPr="00DC6133">
              <w:rPr>
                <w:rFonts w:ascii="Times New Roman" w:eastAsia="Calibri" w:hAnsi="Times New Roman" w:cs="Times New Roman"/>
                <w:color w:val="000000"/>
              </w:rPr>
              <w:instrText xml:space="preserve"> FORMCHECKBOX </w:instrText>
            </w:r>
            <w:r w:rsidR="007E3D61">
              <w:rPr>
                <w:rFonts w:ascii="Times New Roman" w:eastAsia="Calibri" w:hAnsi="Times New Roman" w:cs="Times New Roman"/>
                <w:color w:val="000000"/>
              </w:rPr>
            </w:r>
            <w:r w:rsidR="007E3D61">
              <w:rPr>
                <w:rFonts w:ascii="Times New Roman" w:eastAsia="Calibri" w:hAnsi="Times New Roman" w:cs="Times New Roman"/>
                <w:color w:val="000000"/>
              </w:rPr>
              <w:fldChar w:fldCharType="separate"/>
            </w:r>
            <w:r w:rsidRPr="00DC6133">
              <w:rPr>
                <w:rFonts w:ascii="Times New Roman" w:eastAsia="Calibri" w:hAnsi="Times New Roman" w:cs="Times New Roman"/>
                <w:color w:val="000000"/>
              </w:rPr>
              <w:fldChar w:fldCharType="end"/>
            </w:r>
            <w:r w:rsidRPr="00DC6133">
              <w:rPr>
                <w:rFonts w:ascii="Times New Roman" w:eastAsia="Calibri" w:hAnsi="Times New Roman" w:cs="Times New Roman"/>
                <w:color w:val="000000"/>
              </w:rPr>
              <w:t xml:space="preserve"> sytuacja i rozwój regionalny</w:t>
            </w:r>
          </w:p>
          <w:p w14:paraId="66D986FC" w14:textId="516DBD8F" w:rsidR="002625F9" w:rsidRPr="00DC6133" w:rsidRDefault="002625F9" w:rsidP="002625F9">
            <w:pPr>
              <w:spacing w:after="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fldChar w:fldCharType="begin">
                <w:ffData>
                  <w:name w:val=""/>
                  <w:enabled/>
                  <w:calcOnExit w:val="0"/>
                  <w:checkBox>
                    <w:sizeAuto/>
                    <w:default w:val="0"/>
                  </w:checkBox>
                </w:ffData>
              </w:fldChar>
            </w:r>
            <w:r w:rsidRPr="00DC6133">
              <w:rPr>
                <w:rFonts w:ascii="Times New Roman" w:eastAsia="Calibri" w:hAnsi="Times New Roman" w:cs="Times New Roman"/>
                <w:color w:val="000000"/>
              </w:rPr>
              <w:instrText xml:space="preserve"> FORMCHECKBOX </w:instrText>
            </w:r>
            <w:r w:rsidR="007E3D61">
              <w:rPr>
                <w:rFonts w:ascii="Times New Roman" w:eastAsia="Calibri" w:hAnsi="Times New Roman" w:cs="Times New Roman"/>
                <w:color w:val="000000"/>
              </w:rPr>
            </w:r>
            <w:r w:rsidR="007E3D61">
              <w:rPr>
                <w:rFonts w:ascii="Times New Roman" w:eastAsia="Calibri" w:hAnsi="Times New Roman" w:cs="Times New Roman"/>
                <w:color w:val="000000"/>
              </w:rPr>
              <w:fldChar w:fldCharType="separate"/>
            </w:r>
            <w:r w:rsidRPr="00DC6133">
              <w:rPr>
                <w:rFonts w:ascii="Times New Roman" w:eastAsia="Calibri" w:hAnsi="Times New Roman" w:cs="Times New Roman"/>
                <w:color w:val="000000"/>
              </w:rPr>
              <w:fldChar w:fldCharType="end"/>
            </w:r>
            <w:r w:rsidRPr="00DC6133">
              <w:rPr>
                <w:rFonts w:ascii="Times New Roman" w:eastAsia="Calibri" w:hAnsi="Times New Roman" w:cs="Times New Roman"/>
                <w:color w:val="000000"/>
              </w:rPr>
              <w:t xml:space="preserve"> </w:t>
            </w:r>
            <w:r w:rsidRPr="00EB7FA9">
              <w:rPr>
                <w:rFonts w:ascii="Times New Roman" w:eastAsia="Calibri" w:hAnsi="Times New Roman" w:cs="Times New Roman"/>
                <w:spacing w:val="-2"/>
              </w:rPr>
              <w:t>sądy powszechne, administracyjne lub wojskowe</w:t>
            </w:r>
          </w:p>
          <w:p w14:paraId="248FFA4D" w14:textId="7697C954" w:rsidR="002625F9" w:rsidRPr="00DC6133" w:rsidRDefault="002625F9" w:rsidP="002625F9">
            <w:pPr>
              <w:spacing w:before="60" w:after="60" w:line="240" w:lineRule="auto"/>
              <w:rPr>
                <w:rFonts w:ascii="Times New Roman" w:eastAsia="Calibri" w:hAnsi="Times New Roman" w:cs="Times New Roman"/>
                <w:color w:val="000000"/>
              </w:rPr>
            </w:pPr>
          </w:p>
        </w:tc>
        <w:tc>
          <w:tcPr>
            <w:tcW w:w="3687" w:type="dxa"/>
            <w:gridSpan w:val="15"/>
            <w:shd w:val="clear" w:color="auto" w:fill="FFFFFF"/>
          </w:tcPr>
          <w:p w14:paraId="428217D7" w14:textId="77777777" w:rsidR="002625F9" w:rsidRPr="00DC6133" w:rsidRDefault="002625F9" w:rsidP="002625F9">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fldChar w:fldCharType="begin">
                <w:ffData>
                  <w:name w:val="Wybór1"/>
                  <w:enabled/>
                  <w:calcOnExit w:val="0"/>
                  <w:checkBox>
                    <w:sizeAuto/>
                    <w:default w:val="0"/>
                  </w:checkBox>
                </w:ffData>
              </w:fldChar>
            </w:r>
            <w:r w:rsidRPr="00DC6133">
              <w:rPr>
                <w:rFonts w:ascii="Times New Roman" w:eastAsia="Calibri" w:hAnsi="Times New Roman" w:cs="Times New Roman"/>
                <w:color w:val="000000"/>
              </w:rPr>
              <w:instrText xml:space="preserve"> FORMCHECKBOX </w:instrText>
            </w:r>
            <w:r w:rsidR="007E3D61">
              <w:rPr>
                <w:rFonts w:ascii="Times New Roman" w:eastAsia="Calibri" w:hAnsi="Times New Roman" w:cs="Times New Roman"/>
                <w:color w:val="000000"/>
              </w:rPr>
            </w:r>
            <w:r w:rsidR="007E3D61">
              <w:rPr>
                <w:rFonts w:ascii="Times New Roman" w:eastAsia="Calibri" w:hAnsi="Times New Roman" w:cs="Times New Roman"/>
                <w:color w:val="000000"/>
              </w:rPr>
              <w:fldChar w:fldCharType="separate"/>
            </w:r>
            <w:r w:rsidRPr="00DC6133">
              <w:rPr>
                <w:rFonts w:ascii="Times New Roman" w:eastAsia="Calibri" w:hAnsi="Times New Roman" w:cs="Times New Roman"/>
                <w:color w:val="000000"/>
              </w:rPr>
              <w:fldChar w:fldCharType="end"/>
            </w:r>
            <w:r w:rsidRPr="00DC6133">
              <w:rPr>
                <w:rFonts w:ascii="Times New Roman" w:eastAsia="Calibri" w:hAnsi="Times New Roman" w:cs="Times New Roman"/>
                <w:color w:val="000000"/>
              </w:rPr>
              <w:t xml:space="preserve"> demografia</w:t>
            </w:r>
          </w:p>
          <w:p w14:paraId="675B916C" w14:textId="77777777" w:rsidR="002625F9" w:rsidRDefault="002625F9" w:rsidP="002625F9">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fldChar w:fldCharType="begin">
                <w:ffData>
                  <w:name w:val=""/>
                  <w:enabled/>
                  <w:calcOnExit w:val="0"/>
                  <w:checkBox>
                    <w:sizeAuto/>
                    <w:default w:val="0"/>
                  </w:checkBox>
                </w:ffData>
              </w:fldChar>
            </w:r>
            <w:r w:rsidRPr="00DC6133">
              <w:rPr>
                <w:rFonts w:ascii="Times New Roman" w:eastAsia="Calibri" w:hAnsi="Times New Roman" w:cs="Times New Roman"/>
                <w:color w:val="000000"/>
              </w:rPr>
              <w:instrText xml:space="preserve"> FORMCHECKBOX </w:instrText>
            </w:r>
            <w:r w:rsidR="007E3D61">
              <w:rPr>
                <w:rFonts w:ascii="Times New Roman" w:eastAsia="Calibri" w:hAnsi="Times New Roman" w:cs="Times New Roman"/>
                <w:color w:val="000000"/>
              </w:rPr>
            </w:r>
            <w:r w:rsidR="007E3D61">
              <w:rPr>
                <w:rFonts w:ascii="Times New Roman" w:eastAsia="Calibri" w:hAnsi="Times New Roman" w:cs="Times New Roman"/>
                <w:color w:val="000000"/>
              </w:rPr>
              <w:fldChar w:fldCharType="separate"/>
            </w:r>
            <w:r w:rsidRPr="00DC6133">
              <w:rPr>
                <w:rFonts w:ascii="Times New Roman" w:eastAsia="Calibri" w:hAnsi="Times New Roman" w:cs="Times New Roman"/>
                <w:color w:val="000000"/>
              </w:rPr>
              <w:fldChar w:fldCharType="end"/>
            </w:r>
            <w:r w:rsidRPr="00DC6133">
              <w:rPr>
                <w:rFonts w:ascii="Times New Roman" w:eastAsia="Calibri" w:hAnsi="Times New Roman" w:cs="Times New Roman"/>
                <w:color w:val="000000"/>
              </w:rPr>
              <w:t xml:space="preserve"> mienie państwowe</w:t>
            </w:r>
          </w:p>
          <w:p w14:paraId="13D971F8" w14:textId="3EE6C06A" w:rsidR="002625F9" w:rsidRPr="00DC6133" w:rsidRDefault="002625F9" w:rsidP="002625F9">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fldChar w:fldCharType="begin">
                <w:ffData>
                  <w:name w:val="Wybór1"/>
                  <w:enabled/>
                  <w:calcOnExit w:val="0"/>
                  <w:checkBox>
                    <w:sizeAuto/>
                    <w:default w:val="0"/>
                  </w:checkBox>
                </w:ffData>
              </w:fldChar>
            </w:r>
            <w:r w:rsidRPr="00DC6133">
              <w:rPr>
                <w:rFonts w:ascii="Times New Roman" w:eastAsia="Calibri" w:hAnsi="Times New Roman" w:cs="Times New Roman"/>
                <w:color w:val="000000"/>
              </w:rPr>
              <w:instrText xml:space="preserve"> FORMCHECKBOX </w:instrText>
            </w:r>
            <w:r w:rsidR="007E3D61">
              <w:rPr>
                <w:rFonts w:ascii="Times New Roman" w:eastAsia="Calibri" w:hAnsi="Times New Roman" w:cs="Times New Roman"/>
                <w:color w:val="000000"/>
              </w:rPr>
            </w:r>
            <w:r w:rsidR="007E3D61">
              <w:rPr>
                <w:rFonts w:ascii="Times New Roman" w:eastAsia="Calibri" w:hAnsi="Times New Roman" w:cs="Times New Roman"/>
                <w:color w:val="000000"/>
              </w:rPr>
              <w:fldChar w:fldCharType="separate"/>
            </w:r>
            <w:r w:rsidRPr="00DC6133">
              <w:rPr>
                <w:rFonts w:ascii="Times New Roman" w:eastAsia="Calibri" w:hAnsi="Times New Roman" w:cs="Times New Roman"/>
                <w:color w:val="000000"/>
              </w:rPr>
              <w:fldChar w:fldCharType="end"/>
            </w:r>
            <w:r w:rsidRPr="00DC6133">
              <w:rPr>
                <w:rFonts w:ascii="Times New Roman" w:eastAsia="Calibri" w:hAnsi="Times New Roman" w:cs="Times New Roman"/>
                <w:color w:val="000000"/>
              </w:rPr>
              <w:t xml:space="preserve"> inne:</w:t>
            </w:r>
          </w:p>
        </w:tc>
        <w:tc>
          <w:tcPr>
            <w:tcW w:w="3703" w:type="dxa"/>
            <w:gridSpan w:val="9"/>
            <w:shd w:val="clear" w:color="auto" w:fill="FFFFFF"/>
          </w:tcPr>
          <w:p w14:paraId="17F5E8ED" w14:textId="77777777" w:rsidR="002625F9" w:rsidRPr="00DC6133" w:rsidRDefault="002625F9" w:rsidP="002625F9">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fldChar w:fldCharType="begin">
                <w:ffData>
                  <w:name w:val="Wybór1"/>
                  <w:enabled/>
                  <w:calcOnExit w:val="0"/>
                  <w:checkBox>
                    <w:sizeAuto/>
                    <w:default w:val="0"/>
                  </w:checkBox>
                </w:ffData>
              </w:fldChar>
            </w:r>
            <w:r w:rsidRPr="00DC6133">
              <w:rPr>
                <w:rFonts w:ascii="Times New Roman" w:eastAsia="Calibri" w:hAnsi="Times New Roman" w:cs="Times New Roman"/>
                <w:color w:val="000000"/>
              </w:rPr>
              <w:instrText xml:space="preserve"> FORMCHECKBOX </w:instrText>
            </w:r>
            <w:r w:rsidR="007E3D61">
              <w:rPr>
                <w:rFonts w:ascii="Times New Roman" w:eastAsia="Calibri" w:hAnsi="Times New Roman" w:cs="Times New Roman"/>
                <w:color w:val="000000"/>
              </w:rPr>
            </w:r>
            <w:r w:rsidR="007E3D61">
              <w:rPr>
                <w:rFonts w:ascii="Times New Roman" w:eastAsia="Calibri" w:hAnsi="Times New Roman" w:cs="Times New Roman"/>
                <w:color w:val="000000"/>
              </w:rPr>
              <w:fldChar w:fldCharType="separate"/>
            </w:r>
            <w:r w:rsidRPr="00DC6133">
              <w:rPr>
                <w:rFonts w:ascii="Times New Roman" w:eastAsia="Calibri" w:hAnsi="Times New Roman" w:cs="Times New Roman"/>
                <w:color w:val="000000"/>
              </w:rPr>
              <w:fldChar w:fldCharType="end"/>
            </w:r>
            <w:r w:rsidRPr="00DC6133">
              <w:rPr>
                <w:rFonts w:ascii="Times New Roman" w:eastAsia="Calibri" w:hAnsi="Times New Roman" w:cs="Times New Roman"/>
                <w:color w:val="000000"/>
              </w:rPr>
              <w:t xml:space="preserve"> informatyzacja</w:t>
            </w:r>
          </w:p>
          <w:p w14:paraId="4FF5778E" w14:textId="38139C2B" w:rsidR="002625F9" w:rsidRPr="00DC6133" w:rsidRDefault="002625F9" w:rsidP="002625F9">
            <w:pPr>
              <w:spacing w:before="60" w:after="60" w:line="240" w:lineRule="auto"/>
              <w:rPr>
                <w:rFonts w:ascii="Times New Roman" w:eastAsia="Calibri" w:hAnsi="Times New Roman" w:cs="Times New Roman"/>
                <w:color w:val="000000"/>
              </w:rPr>
            </w:pPr>
            <w:r>
              <w:rPr>
                <w:rFonts w:ascii="Times New Roman" w:eastAsia="Calibri" w:hAnsi="Times New Roman" w:cs="Times New Roman"/>
                <w:color w:val="000000"/>
              </w:rPr>
              <w:fldChar w:fldCharType="begin">
                <w:ffData>
                  <w:name w:val=""/>
                  <w:enabled/>
                  <w:calcOnExit w:val="0"/>
                  <w:checkBox>
                    <w:sizeAuto/>
                    <w:default w:val="1"/>
                  </w:checkBox>
                </w:ffData>
              </w:fldChar>
            </w:r>
            <w:r>
              <w:rPr>
                <w:rFonts w:ascii="Times New Roman" w:eastAsia="Calibri" w:hAnsi="Times New Roman" w:cs="Times New Roman"/>
                <w:color w:val="000000"/>
              </w:rPr>
              <w:instrText xml:space="preserve"> FORMCHECKBOX </w:instrText>
            </w:r>
            <w:r w:rsidR="007E3D61">
              <w:rPr>
                <w:rFonts w:ascii="Times New Roman" w:eastAsia="Calibri" w:hAnsi="Times New Roman" w:cs="Times New Roman"/>
                <w:color w:val="000000"/>
              </w:rPr>
            </w:r>
            <w:r w:rsidR="007E3D61">
              <w:rPr>
                <w:rFonts w:ascii="Times New Roman" w:eastAsia="Calibri" w:hAnsi="Times New Roman" w:cs="Times New Roman"/>
                <w:color w:val="000000"/>
              </w:rPr>
              <w:fldChar w:fldCharType="separate"/>
            </w:r>
            <w:r>
              <w:rPr>
                <w:rFonts w:ascii="Times New Roman" w:eastAsia="Calibri" w:hAnsi="Times New Roman" w:cs="Times New Roman"/>
                <w:color w:val="000000"/>
              </w:rPr>
              <w:fldChar w:fldCharType="end"/>
            </w:r>
            <w:r w:rsidRPr="00DC6133">
              <w:rPr>
                <w:rFonts w:ascii="Times New Roman" w:eastAsia="Calibri" w:hAnsi="Times New Roman" w:cs="Times New Roman"/>
                <w:color w:val="000000"/>
              </w:rPr>
              <w:t xml:space="preserve"> zdrowie</w:t>
            </w:r>
          </w:p>
        </w:tc>
      </w:tr>
      <w:tr w:rsidR="002625F9" w:rsidRPr="00DC6133" w14:paraId="6CBB9639" w14:textId="77777777" w:rsidTr="00F555A5">
        <w:trPr>
          <w:gridAfter w:val="1"/>
          <w:wAfter w:w="10" w:type="dxa"/>
          <w:trHeight w:val="712"/>
          <w:jc w:val="center"/>
        </w:trPr>
        <w:tc>
          <w:tcPr>
            <w:tcW w:w="2243" w:type="dxa"/>
            <w:gridSpan w:val="2"/>
            <w:shd w:val="clear" w:color="auto" w:fill="FFFFFF"/>
            <w:vAlign w:val="center"/>
          </w:tcPr>
          <w:p w14:paraId="5303FBFD" w14:textId="77777777" w:rsidR="002625F9" w:rsidRPr="00DC6133" w:rsidRDefault="002625F9" w:rsidP="002625F9">
            <w:pPr>
              <w:spacing w:before="60" w:after="60" w:line="240" w:lineRule="auto"/>
              <w:rPr>
                <w:rFonts w:ascii="Times New Roman" w:eastAsia="Calibri" w:hAnsi="Times New Roman" w:cs="Times New Roman"/>
                <w:color w:val="000000"/>
              </w:rPr>
            </w:pPr>
            <w:r w:rsidRPr="00DC6133">
              <w:rPr>
                <w:rFonts w:ascii="Times New Roman" w:eastAsia="Calibri" w:hAnsi="Times New Roman" w:cs="Times New Roman"/>
                <w:color w:val="000000"/>
              </w:rPr>
              <w:t>Omówienie wpływu</w:t>
            </w:r>
          </w:p>
        </w:tc>
        <w:tc>
          <w:tcPr>
            <w:tcW w:w="8694" w:type="dxa"/>
            <w:gridSpan w:val="27"/>
            <w:shd w:val="clear" w:color="auto" w:fill="FFFFFF"/>
            <w:vAlign w:val="center"/>
          </w:tcPr>
          <w:p w14:paraId="5AE70BC6" w14:textId="73CDB60A" w:rsidR="002625F9" w:rsidRPr="00DC6133" w:rsidRDefault="002625F9" w:rsidP="002625F9">
            <w:pPr>
              <w:spacing w:before="60" w:after="60" w:line="240" w:lineRule="auto"/>
              <w:jc w:val="both"/>
              <w:rPr>
                <w:rFonts w:ascii="Times New Roman" w:eastAsia="Calibri" w:hAnsi="Times New Roman" w:cs="Times New Roman"/>
                <w:color w:val="000000"/>
              </w:rPr>
            </w:pPr>
            <w:r w:rsidRPr="00DC4EE5">
              <w:rPr>
                <w:rFonts w:ascii="Times New Roman" w:eastAsia="Calibri" w:hAnsi="Times New Roman" w:cs="Times New Roman"/>
                <w:color w:val="000000"/>
              </w:rPr>
              <w:t>Uaktualnienie wykazu testów z zakresu kontroli parametrów fizycznych urządzeń radiologicznych pozwoli na utrzymanie właściwego poziomu bezpieczeństwa urządzeń radiologicznych stosowanych w jednostkach ochrony zdrowia. Zakres wykonywanych w tym celu testów oraz częstotliwość ich przeprowadzania zostaną dostosowane do aktualnej wiedzy w dziedzinie urządzeń radiologicznych, w tym również nowych wymagań związanych z rozwojem technologicznym oraz zweryfikowane z punktu widzenia zaleceń i wytycznych międzynarodowych.</w:t>
            </w:r>
          </w:p>
        </w:tc>
      </w:tr>
      <w:tr w:rsidR="002625F9" w:rsidRPr="00DC6133" w14:paraId="6C269D26" w14:textId="77777777" w:rsidTr="00F555A5">
        <w:trPr>
          <w:gridAfter w:val="1"/>
          <w:wAfter w:w="10" w:type="dxa"/>
          <w:trHeight w:val="142"/>
          <w:jc w:val="center"/>
        </w:trPr>
        <w:tc>
          <w:tcPr>
            <w:tcW w:w="10937" w:type="dxa"/>
            <w:gridSpan w:val="29"/>
            <w:shd w:val="clear" w:color="auto" w:fill="99CCFF"/>
          </w:tcPr>
          <w:p w14:paraId="737F0D1A" w14:textId="77777777" w:rsidR="002625F9" w:rsidRPr="00DC6133" w:rsidRDefault="002625F9" w:rsidP="002625F9">
            <w:pPr>
              <w:numPr>
                <w:ilvl w:val="0"/>
                <w:numId w:val="1"/>
              </w:numPr>
              <w:tabs>
                <w:tab w:val="clear" w:pos="360"/>
              </w:tabs>
              <w:spacing w:before="60" w:after="60" w:line="240" w:lineRule="auto"/>
              <w:ind w:left="378" w:hanging="344"/>
              <w:jc w:val="both"/>
              <w:rPr>
                <w:rFonts w:ascii="Times New Roman" w:eastAsia="Calibri" w:hAnsi="Times New Roman" w:cs="Times New Roman"/>
                <w:b/>
              </w:rPr>
            </w:pPr>
            <w:r w:rsidRPr="00DC6133">
              <w:rPr>
                <w:rFonts w:ascii="Times New Roman" w:eastAsia="Calibri" w:hAnsi="Times New Roman" w:cs="Times New Roman"/>
                <w:b/>
                <w:color w:val="000000"/>
              </w:rPr>
              <w:t>Planowane</w:t>
            </w:r>
            <w:r w:rsidRPr="00DC6133">
              <w:rPr>
                <w:rFonts w:ascii="Times New Roman" w:eastAsia="Calibri" w:hAnsi="Times New Roman" w:cs="Times New Roman"/>
                <w:b/>
              </w:rPr>
              <w:t xml:space="preserve"> wykonanie </w:t>
            </w:r>
            <w:r w:rsidRPr="00DC6133">
              <w:rPr>
                <w:rFonts w:ascii="Times New Roman" w:eastAsia="Calibri" w:hAnsi="Times New Roman" w:cs="Times New Roman"/>
                <w:b/>
                <w:color w:val="000000"/>
              </w:rPr>
              <w:t>przepisów</w:t>
            </w:r>
            <w:r w:rsidRPr="00DC6133">
              <w:rPr>
                <w:rFonts w:ascii="Times New Roman" w:eastAsia="Calibri" w:hAnsi="Times New Roman" w:cs="Times New Roman"/>
                <w:b/>
              </w:rPr>
              <w:t xml:space="preserve"> aktu prawnego</w:t>
            </w:r>
          </w:p>
        </w:tc>
      </w:tr>
      <w:tr w:rsidR="002625F9" w:rsidRPr="00DC6133" w14:paraId="41A44558" w14:textId="77777777" w:rsidTr="00F555A5">
        <w:trPr>
          <w:gridAfter w:val="1"/>
          <w:wAfter w:w="10" w:type="dxa"/>
          <w:trHeight w:val="142"/>
          <w:jc w:val="center"/>
        </w:trPr>
        <w:tc>
          <w:tcPr>
            <w:tcW w:w="10937" w:type="dxa"/>
            <w:gridSpan w:val="29"/>
            <w:shd w:val="clear" w:color="auto" w:fill="FFFFFF"/>
          </w:tcPr>
          <w:p w14:paraId="20679AA4" w14:textId="27E7A198" w:rsidR="002625F9" w:rsidRPr="00DC6133" w:rsidRDefault="002625F9" w:rsidP="002625F9">
            <w:pPr>
              <w:spacing w:before="60" w:after="60" w:line="240" w:lineRule="auto"/>
              <w:jc w:val="both"/>
              <w:rPr>
                <w:rFonts w:ascii="Times New Roman" w:eastAsia="Calibri" w:hAnsi="Times New Roman" w:cs="Times New Roman"/>
              </w:rPr>
            </w:pPr>
            <w:r w:rsidRPr="00DC6133">
              <w:rPr>
                <w:rFonts w:ascii="Times New Roman" w:eastAsia="Calibri" w:hAnsi="Times New Roman" w:cs="Times New Roman"/>
              </w:rPr>
              <w:t xml:space="preserve">Rozporządzenie </w:t>
            </w:r>
            <w:r>
              <w:rPr>
                <w:rFonts w:ascii="Times New Roman" w:eastAsia="Calibri" w:hAnsi="Times New Roman" w:cs="Times New Roman"/>
              </w:rPr>
              <w:t>wejdzie</w:t>
            </w:r>
            <w:r w:rsidRPr="00DC6133">
              <w:rPr>
                <w:rFonts w:ascii="Times New Roman" w:eastAsia="Calibri" w:hAnsi="Times New Roman" w:cs="Times New Roman"/>
              </w:rPr>
              <w:t xml:space="preserve"> w życie </w:t>
            </w:r>
            <w:r>
              <w:rPr>
                <w:rFonts w:ascii="Times New Roman" w:eastAsia="Calibri" w:hAnsi="Times New Roman" w:cs="Times New Roman"/>
              </w:rPr>
              <w:t>z dniem następującym po dniu ogłoszenia.</w:t>
            </w:r>
          </w:p>
        </w:tc>
      </w:tr>
      <w:tr w:rsidR="002625F9" w:rsidRPr="00DC6133" w14:paraId="1A7284F0" w14:textId="77777777" w:rsidTr="00F555A5">
        <w:trPr>
          <w:gridAfter w:val="1"/>
          <w:wAfter w:w="10" w:type="dxa"/>
          <w:trHeight w:val="142"/>
          <w:jc w:val="center"/>
        </w:trPr>
        <w:tc>
          <w:tcPr>
            <w:tcW w:w="10937" w:type="dxa"/>
            <w:gridSpan w:val="29"/>
            <w:shd w:val="clear" w:color="auto" w:fill="99CCFF"/>
          </w:tcPr>
          <w:p w14:paraId="56050A8C" w14:textId="77777777" w:rsidR="002625F9" w:rsidRPr="00DC6133" w:rsidRDefault="002625F9" w:rsidP="002625F9">
            <w:pPr>
              <w:numPr>
                <w:ilvl w:val="0"/>
                <w:numId w:val="1"/>
              </w:numPr>
              <w:tabs>
                <w:tab w:val="clear" w:pos="360"/>
              </w:tabs>
              <w:spacing w:before="60" w:after="60" w:line="240" w:lineRule="auto"/>
              <w:ind w:left="378" w:hanging="344"/>
              <w:jc w:val="both"/>
              <w:rPr>
                <w:rFonts w:ascii="Times New Roman" w:eastAsia="Calibri" w:hAnsi="Times New Roman" w:cs="Times New Roman"/>
                <w:b/>
                <w:color w:val="000000"/>
              </w:rPr>
            </w:pPr>
            <w:r w:rsidRPr="00DC6133">
              <w:rPr>
                <w:rFonts w:ascii="Times New Roman" w:eastAsia="Calibri" w:hAnsi="Times New Roman" w:cs="Times New Roman"/>
                <w:b/>
              </w:rPr>
              <w:t xml:space="preserve">W jaki </w:t>
            </w:r>
            <w:r w:rsidRPr="00DC6133">
              <w:rPr>
                <w:rFonts w:ascii="Times New Roman" w:eastAsia="Calibri" w:hAnsi="Times New Roman" w:cs="Times New Roman"/>
                <w:b/>
                <w:color w:val="000000"/>
              </w:rPr>
              <w:t>sposób</w:t>
            </w:r>
            <w:r w:rsidRPr="00DC6133">
              <w:rPr>
                <w:rFonts w:ascii="Times New Roman" w:eastAsia="Calibri" w:hAnsi="Times New Roman" w:cs="Times New Roman"/>
                <w:b/>
              </w:rPr>
              <w:t xml:space="preserve"> i kiedy nastąpi ewaluacja efektów projektu oraz jakie mierniki zostaną zastosowane?</w:t>
            </w:r>
          </w:p>
        </w:tc>
      </w:tr>
      <w:tr w:rsidR="002625F9" w:rsidRPr="00DC6133" w14:paraId="02257DA6" w14:textId="77777777" w:rsidTr="00F555A5">
        <w:trPr>
          <w:gridAfter w:val="1"/>
          <w:wAfter w:w="10" w:type="dxa"/>
          <w:trHeight w:val="142"/>
          <w:jc w:val="center"/>
        </w:trPr>
        <w:tc>
          <w:tcPr>
            <w:tcW w:w="10937" w:type="dxa"/>
            <w:gridSpan w:val="29"/>
            <w:shd w:val="clear" w:color="auto" w:fill="FFFFFF"/>
          </w:tcPr>
          <w:p w14:paraId="3662AA21" w14:textId="7EC09BFD" w:rsidR="002625F9" w:rsidRPr="00DC6133" w:rsidRDefault="002625F9" w:rsidP="002625F9">
            <w:pPr>
              <w:spacing w:before="60" w:after="60" w:line="240" w:lineRule="auto"/>
              <w:jc w:val="both"/>
              <w:rPr>
                <w:rFonts w:ascii="Times New Roman" w:eastAsia="Calibri" w:hAnsi="Times New Roman" w:cs="Times New Roman"/>
                <w:color w:val="000000"/>
              </w:rPr>
            </w:pPr>
            <w:r w:rsidRPr="00DC4EE5">
              <w:rPr>
                <w:rFonts w:ascii="Times New Roman" w:eastAsia="Calibri" w:hAnsi="Times New Roman" w:cs="Times New Roman"/>
                <w:color w:val="000000"/>
              </w:rPr>
              <w:t>Efekty wprowadzenia przepisów objętych projektowaną regulacją, będą mogły być przedmiotem analizy w okresie pierwszych miesięcy od ich wejścia w życie. Analiza efektów projektu będzie przeprowadzona z punktu widzenia aktualnej wiedzy dotyczącej stosowanych urządzeń radiologicznych, w tym koniecznego zakresu kontroli, jaką w stosunku do konkretnych urządzeń należy zapewnić. Analiza taka będzie mogła być dokonywana na bieżąco w okresie wykonywania testów zgodnie z nowymi regulacjami (wykaz testów), w oparciu o publikacje i zalecenia międzynarodowych organizacji zajmujących się stosowaniem promieniowania jonizującego oraz na podstawie wyników kontroli uzyskiwanych przez podmioty uprawnione do wykonywania kontroli fizycznych parametrów urządzeń radiologicznych (podmioty akredytowane, upoważnieni pracownicy jednostek ochrony zdrowia, w tym specjaliści w dziedzinie fizyki medycznej lub inżynierii medycznej).</w:t>
            </w:r>
          </w:p>
        </w:tc>
      </w:tr>
      <w:tr w:rsidR="002625F9" w:rsidRPr="00DC6133" w14:paraId="28C913F3" w14:textId="77777777" w:rsidTr="00F555A5">
        <w:trPr>
          <w:gridAfter w:val="1"/>
          <w:wAfter w:w="10" w:type="dxa"/>
          <w:trHeight w:val="142"/>
          <w:jc w:val="center"/>
        </w:trPr>
        <w:tc>
          <w:tcPr>
            <w:tcW w:w="10937" w:type="dxa"/>
            <w:gridSpan w:val="29"/>
            <w:shd w:val="clear" w:color="auto" w:fill="99CCFF"/>
          </w:tcPr>
          <w:p w14:paraId="7351EB9E" w14:textId="77777777" w:rsidR="002625F9" w:rsidRPr="00DC6133" w:rsidRDefault="002625F9" w:rsidP="002625F9">
            <w:pPr>
              <w:numPr>
                <w:ilvl w:val="0"/>
                <w:numId w:val="1"/>
              </w:numPr>
              <w:tabs>
                <w:tab w:val="clear" w:pos="360"/>
              </w:tabs>
              <w:spacing w:before="60" w:after="60" w:line="240" w:lineRule="auto"/>
              <w:ind w:left="378" w:hanging="344"/>
              <w:jc w:val="both"/>
              <w:rPr>
                <w:rFonts w:ascii="Times New Roman" w:eastAsia="Calibri" w:hAnsi="Times New Roman" w:cs="Times New Roman"/>
                <w:b/>
                <w:color w:val="000000"/>
              </w:rPr>
            </w:pPr>
            <w:r w:rsidRPr="00DC6133">
              <w:rPr>
                <w:rFonts w:ascii="Times New Roman" w:eastAsia="Calibri" w:hAnsi="Times New Roman" w:cs="Times New Roman"/>
                <w:b/>
                <w:color w:val="000000"/>
              </w:rPr>
              <w:t xml:space="preserve">Załączniki </w:t>
            </w:r>
            <w:r w:rsidRPr="00DC6133">
              <w:rPr>
                <w:rFonts w:ascii="Times New Roman" w:eastAsia="Calibri" w:hAnsi="Times New Roman" w:cs="Times New Roman"/>
                <w:b/>
              </w:rPr>
              <w:t>(</w:t>
            </w:r>
            <w:r w:rsidRPr="00DC6133">
              <w:rPr>
                <w:rFonts w:ascii="Times New Roman" w:eastAsia="Calibri" w:hAnsi="Times New Roman" w:cs="Times New Roman"/>
                <w:b/>
                <w:color w:val="000000"/>
              </w:rPr>
              <w:t>istotne</w:t>
            </w:r>
            <w:r w:rsidRPr="00DC6133">
              <w:rPr>
                <w:rFonts w:ascii="Times New Roman" w:eastAsia="Calibri" w:hAnsi="Times New Roman" w:cs="Times New Roman"/>
                <w:b/>
              </w:rPr>
              <w:t xml:space="preserve"> dokumenty źródłowe, badania, analizy itp.</w:t>
            </w:r>
            <w:r w:rsidRPr="00DC6133">
              <w:rPr>
                <w:rFonts w:ascii="Times New Roman" w:eastAsia="Calibri" w:hAnsi="Times New Roman" w:cs="Times New Roman"/>
                <w:b/>
                <w:color w:val="000000"/>
              </w:rPr>
              <w:t xml:space="preserve">) </w:t>
            </w:r>
          </w:p>
        </w:tc>
      </w:tr>
      <w:tr w:rsidR="002625F9" w:rsidRPr="005E1253" w14:paraId="001AE0E1" w14:textId="77777777" w:rsidTr="0066263F">
        <w:trPr>
          <w:gridAfter w:val="1"/>
          <w:wAfter w:w="10" w:type="dxa"/>
          <w:trHeight w:val="142"/>
          <w:jc w:val="center"/>
        </w:trPr>
        <w:tc>
          <w:tcPr>
            <w:tcW w:w="10937" w:type="dxa"/>
            <w:gridSpan w:val="29"/>
            <w:shd w:val="clear" w:color="auto" w:fill="auto"/>
          </w:tcPr>
          <w:p w14:paraId="0B0CAB78" w14:textId="19AC6006" w:rsidR="002625F9" w:rsidRPr="005E1253" w:rsidRDefault="002625F9" w:rsidP="002625F9">
            <w:pPr>
              <w:spacing w:before="60" w:after="60" w:line="240" w:lineRule="auto"/>
              <w:jc w:val="both"/>
              <w:rPr>
                <w:rFonts w:ascii="Times New Roman" w:eastAsia="Calibri" w:hAnsi="Times New Roman" w:cs="Times New Roman"/>
                <w:bCs/>
                <w:color w:val="000000"/>
                <w:lang w:val="en-GB"/>
              </w:rPr>
            </w:pPr>
            <w:proofErr w:type="spellStart"/>
            <w:r>
              <w:rPr>
                <w:rFonts w:ascii="Times New Roman" w:eastAsia="Calibri" w:hAnsi="Times New Roman" w:cs="Times New Roman"/>
                <w:bCs/>
                <w:color w:val="000000"/>
                <w:lang w:val="en-GB"/>
              </w:rPr>
              <w:t>Bra</w:t>
            </w:r>
            <w:r w:rsidR="00715D7A">
              <w:rPr>
                <w:rFonts w:ascii="Times New Roman" w:eastAsia="Calibri" w:hAnsi="Times New Roman" w:cs="Times New Roman"/>
                <w:bCs/>
                <w:color w:val="000000"/>
                <w:lang w:val="en-GB"/>
              </w:rPr>
              <w:t>k</w:t>
            </w:r>
            <w:proofErr w:type="spellEnd"/>
            <w:r w:rsidR="00715D7A">
              <w:rPr>
                <w:rFonts w:ascii="Times New Roman" w:eastAsia="Calibri" w:hAnsi="Times New Roman" w:cs="Times New Roman"/>
                <w:bCs/>
                <w:color w:val="000000"/>
                <w:lang w:val="en-GB"/>
              </w:rPr>
              <w:t xml:space="preserve">. </w:t>
            </w:r>
          </w:p>
        </w:tc>
      </w:tr>
    </w:tbl>
    <w:p w14:paraId="53FA599B" w14:textId="77777777" w:rsidR="00A803E7" w:rsidRPr="00DC6133" w:rsidRDefault="00A803E7" w:rsidP="00A803E7">
      <w:pPr>
        <w:spacing w:after="200" w:line="276" w:lineRule="auto"/>
        <w:rPr>
          <w:rFonts w:ascii="Times New Roman" w:eastAsia="Times New Roman" w:hAnsi="Times New Roman" w:cs="Times New Roman"/>
          <w:lang w:val="en-US" w:eastAsia="pl-PL"/>
        </w:rPr>
      </w:pPr>
    </w:p>
    <w:p w14:paraId="5EF2DA30" w14:textId="77777777" w:rsidR="00A40550" w:rsidRPr="005E1253" w:rsidRDefault="007E3D61">
      <w:pPr>
        <w:rPr>
          <w:rFonts w:ascii="Times New Roman" w:hAnsi="Times New Roman" w:cs="Times New Roman"/>
          <w:lang w:val="en-GB"/>
        </w:rPr>
      </w:pPr>
    </w:p>
    <w:sectPr w:rsidR="00A40550" w:rsidRPr="005E1253" w:rsidSect="002641A6">
      <w:footerReference w:type="default" r:id="rId10"/>
      <w:pgSz w:w="11907" w:h="16839" w:code="9"/>
      <w:pgMar w:top="567" w:right="567" w:bottom="567"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DBCA7" w14:textId="77777777" w:rsidR="000B2A3D" w:rsidRDefault="000B2A3D">
      <w:pPr>
        <w:spacing w:after="0" w:line="240" w:lineRule="auto"/>
      </w:pPr>
      <w:r>
        <w:separator/>
      </w:r>
    </w:p>
  </w:endnote>
  <w:endnote w:type="continuationSeparator" w:id="0">
    <w:p w14:paraId="15EE7987" w14:textId="77777777" w:rsidR="000B2A3D" w:rsidRDefault="000B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10315"/>
      <w:docPartObj>
        <w:docPartGallery w:val="Page Numbers (Bottom of Page)"/>
        <w:docPartUnique/>
      </w:docPartObj>
    </w:sdtPr>
    <w:sdtEndPr/>
    <w:sdtContent>
      <w:p w14:paraId="6F9D6070" w14:textId="4F443110" w:rsidR="00EC0573" w:rsidRDefault="00EC0573">
        <w:pPr>
          <w:pStyle w:val="Stopka"/>
          <w:jc w:val="center"/>
        </w:pPr>
        <w:r>
          <w:fldChar w:fldCharType="begin"/>
        </w:r>
        <w:r>
          <w:instrText>PAGE   \* MERGEFORMAT</w:instrText>
        </w:r>
        <w:r>
          <w:fldChar w:fldCharType="separate"/>
        </w:r>
        <w:r>
          <w:t>2</w:t>
        </w:r>
        <w:r>
          <w:fldChar w:fldCharType="end"/>
        </w:r>
      </w:p>
    </w:sdtContent>
  </w:sdt>
  <w:p w14:paraId="46624289" w14:textId="77777777" w:rsidR="00EC0573" w:rsidRDefault="00EC05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FF575" w14:textId="77777777" w:rsidR="000B2A3D" w:rsidRDefault="000B2A3D">
      <w:pPr>
        <w:spacing w:after="0" w:line="240" w:lineRule="auto"/>
      </w:pPr>
      <w:r>
        <w:separator/>
      </w:r>
    </w:p>
  </w:footnote>
  <w:footnote w:type="continuationSeparator" w:id="0">
    <w:p w14:paraId="3FC7E9FD" w14:textId="77777777" w:rsidR="000B2A3D" w:rsidRDefault="000B2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7C71450"/>
    <w:multiLevelType w:val="hybridMultilevel"/>
    <w:tmpl w:val="F69A2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82766D8"/>
    <w:multiLevelType w:val="hybridMultilevel"/>
    <w:tmpl w:val="968A9404"/>
    <w:lvl w:ilvl="0" w:tplc="8CE4A08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3C77D1C"/>
    <w:multiLevelType w:val="hybridMultilevel"/>
    <w:tmpl w:val="F676CC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6C12040"/>
    <w:multiLevelType w:val="hybridMultilevel"/>
    <w:tmpl w:val="D1C03A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81832013">
    <w:abstractNumId w:val="0"/>
  </w:num>
  <w:num w:numId="2" w16cid:durableId="402145251">
    <w:abstractNumId w:val="2"/>
  </w:num>
  <w:num w:numId="3" w16cid:durableId="1397045440">
    <w:abstractNumId w:val="3"/>
  </w:num>
  <w:num w:numId="4" w16cid:durableId="525097139">
    <w:abstractNumId w:val="1"/>
  </w:num>
  <w:num w:numId="5" w16cid:durableId="12161653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E7"/>
    <w:rsid w:val="00024165"/>
    <w:rsid w:val="000B2A3D"/>
    <w:rsid w:val="00112BFF"/>
    <w:rsid w:val="00176F74"/>
    <w:rsid w:val="001A425B"/>
    <w:rsid w:val="001B29B2"/>
    <w:rsid w:val="001D4270"/>
    <w:rsid w:val="00223881"/>
    <w:rsid w:val="002625F9"/>
    <w:rsid w:val="002B3D9B"/>
    <w:rsid w:val="002D064B"/>
    <w:rsid w:val="002E6362"/>
    <w:rsid w:val="00305703"/>
    <w:rsid w:val="00323483"/>
    <w:rsid w:val="003B2832"/>
    <w:rsid w:val="003D040A"/>
    <w:rsid w:val="003D1A17"/>
    <w:rsid w:val="003D67F0"/>
    <w:rsid w:val="003F05FF"/>
    <w:rsid w:val="00406298"/>
    <w:rsid w:val="0040727E"/>
    <w:rsid w:val="005E08B3"/>
    <w:rsid w:val="005E1253"/>
    <w:rsid w:val="0060087E"/>
    <w:rsid w:val="0064385D"/>
    <w:rsid w:val="0066263F"/>
    <w:rsid w:val="00675AA2"/>
    <w:rsid w:val="006A322C"/>
    <w:rsid w:val="006B439A"/>
    <w:rsid w:val="007106F3"/>
    <w:rsid w:val="00715D7A"/>
    <w:rsid w:val="00761BE6"/>
    <w:rsid w:val="007800B4"/>
    <w:rsid w:val="007A0167"/>
    <w:rsid w:val="007C109D"/>
    <w:rsid w:val="007C6126"/>
    <w:rsid w:val="007D24CE"/>
    <w:rsid w:val="007E3D61"/>
    <w:rsid w:val="007F3E30"/>
    <w:rsid w:val="007F56F6"/>
    <w:rsid w:val="00871FB3"/>
    <w:rsid w:val="00872C21"/>
    <w:rsid w:val="0088348F"/>
    <w:rsid w:val="008A103C"/>
    <w:rsid w:val="008B298A"/>
    <w:rsid w:val="008F0612"/>
    <w:rsid w:val="00912B47"/>
    <w:rsid w:val="00951823"/>
    <w:rsid w:val="009C0921"/>
    <w:rsid w:val="009D5E7E"/>
    <w:rsid w:val="009E33BC"/>
    <w:rsid w:val="009F618F"/>
    <w:rsid w:val="00A57CFF"/>
    <w:rsid w:val="00A803E7"/>
    <w:rsid w:val="00A876BC"/>
    <w:rsid w:val="00AB4EA0"/>
    <w:rsid w:val="00B467C3"/>
    <w:rsid w:val="00B50732"/>
    <w:rsid w:val="00B52442"/>
    <w:rsid w:val="00B56C42"/>
    <w:rsid w:val="00B71D0D"/>
    <w:rsid w:val="00B9128B"/>
    <w:rsid w:val="00B91385"/>
    <w:rsid w:val="00C85C4F"/>
    <w:rsid w:val="00CD1396"/>
    <w:rsid w:val="00D24924"/>
    <w:rsid w:val="00D5206A"/>
    <w:rsid w:val="00D83F10"/>
    <w:rsid w:val="00DC4EE5"/>
    <w:rsid w:val="00DC6133"/>
    <w:rsid w:val="00DF5B63"/>
    <w:rsid w:val="00E3373D"/>
    <w:rsid w:val="00E413EE"/>
    <w:rsid w:val="00E83D39"/>
    <w:rsid w:val="00EB7FA9"/>
    <w:rsid w:val="00EC0573"/>
    <w:rsid w:val="00EF70FA"/>
    <w:rsid w:val="00F03B8A"/>
    <w:rsid w:val="00F22F27"/>
    <w:rsid w:val="00F420F3"/>
    <w:rsid w:val="00F455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434E"/>
  <w15:chartTrackingRefBased/>
  <w15:docId w15:val="{C9D46AB2-4DCC-417B-8146-E5369CDC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03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03E7"/>
  </w:style>
  <w:style w:type="paragraph" w:styleId="Stopka">
    <w:name w:val="footer"/>
    <w:basedOn w:val="Normalny"/>
    <w:link w:val="StopkaZnak"/>
    <w:uiPriority w:val="99"/>
    <w:unhideWhenUsed/>
    <w:rsid w:val="00EC05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0573"/>
  </w:style>
  <w:style w:type="paragraph" w:styleId="Akapitzlist">
    <w:name w:val="List Paragraph"/>
    <w:basedOn w:val="Normalny"/>
    <w:uiPriority w:val="34"/>
    <w:qFormat/>
    <w:rsid w:val="00AB4EA0"/>
    <w:pPr>
      <w:ind w:left="720"/>
      <w:contextualSpacing/>
    </w:pPr>
  </w:style>
  <w:style w:type="character" w:styleId="Odwoaniedokomentarza">
    <w:name w:val="annotation reference"/>
    <w:basedOn w:val="Domylnaczcionkaakapitu"/>
    <w:uiPriority w:val="99"/>
    <w:semiHidden/>
    <w:unhideWhenUsed/>
    <w:rsid w:val="00AB4EA0"/>
    <w:rPr>
      <w:sz w:val="16"/>
      <w:szCs w:val="16"/>
    </w:rPr>
  </w:style>
  <w:style w:type="paragraph" w:styleId="Tekstkomentarza">
    <w:name w:val="annotation text"/>
    <w:basedOn w:val="Normalny"/>
    <w:link w:val="TekstkomentarzaZnak"/>
    <w:uiPriority w:val="99"/>
    <w:semiHidden/>
    <w:unhideWhenUsed/>
    <w:rsid w:val="00AB4E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4EA0"/>
    <w:rPr>
      <w:sz w:val="20"/>
      <w:szCs w:val="20"/>
    </w:rPr>
  </w:style>
  <w:style w:type="paragraph" w:styleId="Tematkomentarza">
    <w:name w:val="annotation subject"/>
    <w:basedOn w:val="Tekstkomentarza"/>
    <w:next w:val="Tekstkomentarza"/>
    <w:link w:val="TematkomentarzaZnak"/>
    <w:uiPriority w:val="99"/>
    <w:semiHidden/>
    <w:unhideWhenUsed/>
    <w:rsid w:val="00AB4EA0"/>
    <w:rPr>
      <w:b/>
      <w:bCs/>
    </w:rPr>
  </w:style>
  <w:style w:type="character" w:customStyle="1" w:styleId="TematkomentarzaZnak">
    <w:name w:val="Temat komentarza Znak"/>
    <w:basedOn w:val="TekstkomentarzaZnak"/>
    <w:link w:val="Tematkomentarza"/>
    <w:uiPriority w:val="99"/>
    <w:semiHidden/>
    <w:rsid w:val="00AB4EA0"/>
    <w:rPr>
      <w:b/>
      <w:bCs/>
      <w:sz w:val="20"/>
      <w:szCs w:val="20"/>
    </w:rPr>
  </w:style>
  <w:style w:type="paragraph" w:styleId="Tekstprzypisukocowego">
    <w:name w:val="endnote text"/>
    <w:basedOn w:val="Normalny"/>
    <w:link w:val="TekstprzypisukocowegoZnak"/>
    <w:uiPriority w:val="99"/>
    <w:semiHidden/>
    <w:unhideWhenUsed/>
    <w:rsid w:val="008834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348F"/>
    <w:rPr>
      <w:sz w:val="20"/>
      <w:szCs w:val="20"/>
    </w:rPr>
  </w:style>
  <w:style w:type="character" w:styleId="Odwoanieprzypisukocowego">
    <w:name w:val="endnote reference"/>
    <w:basedOn w:val="Domylnaczcionkaakapitu"/>
    <w:uiPriority w:val="99"/>
    <w:semiHidden/>
    <w:unhideWhenUsed/>
    <w:rsid w:val="0088348F"/>
    <w:rPr>
      <w:vertAlign w:val="superscript"/>
    </w:rPr>
  </w:style>
  <w:style w:type="paragraph" w:styleId="Poprawka">
    <w:name w:val="Revision"/>
    <w:hidden/>
    <w:uiPriority w:val="99"/>
    <w:semiHidden/>
    <w:rsid w:val="00CD1396"/>
    <w:pPr>
      <w:spacing w:after="0" w:line="240" w:lineRule="auto"/>
    </w:pPr>
  </w:style>
  <w:style w:type="paragraph" w:styleId="Tekstdymka">
    <w:name w:val="Balloon Text"/>
    <w:basedOn w:val="Normalny"/>
    <w:link w:val="TekstdymkaZnak"/>
    <w:uiPriority w:val="99"/>
    <w:semiHidden/>
    <w:unhideWhenUsed/>
    <w:rsid w:val="002625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2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C3323CFF675344B8EF6C966370A71E" ma:contentTypeVersion="10" ma:contentTypeDescription="Utwórz nowy dokument." ma:contentTypeScope="" ma:versionID="0c9ebe59beaa6fc281390fd6b3490298">
  <xsd:schema xmlns:xsd="http://www.w3.org/2001/XMLSchema" xmlns:xs="http://www.w3.org/2001/XMLSchema" xmlns:p="http://schemas.microsoft.com/office/2006/metadata/properties" xmlns:ns3="4c71069b-9d34-49e2-bced-9d22fbee6483" xmlns:ns4="7858d509-e5d1-4f82-875b-27ffdb52bab1" targetNamespace="http://schemas.microsoft.com/office/2006/metadata/properties" ma:root="true" ma:fieldsID="f2a89dd148647f6725bb8645f28ff540" ns3:_="" ns4:_="">
    <xsd:import namespace="4c71069b-9d34-49e2-bced-9d22fbee6483"/>
    <xsd:import namespace="7858d509-e5d1-4f82-875b-27ffdb52ba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1069b-9d34-49e2-bced-9d22fbee6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8d509-e5d1-4f82-875b-27ffdb52bab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46A893-BCA4-4C6C-BDDF-FB0E46B17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1069b-9d34-49e2-bced-9d22fbee6483"/>
    <ds:schemaRef ds:uri="7858d509-e5d1-4f82-875b-27ffdb52b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0224B-9649-430A-8C75-F29664F12666}">
  <ds:schemaRefs>
    <ds:schemaRef ds:uri="http://schemas.microsoft.com/sharepoint/v3/contenttype/forms"/>
  </ds:schemaRefs>
</ds:datastoreItem>
</file>

<file path=customXml/itemProps3.xml><?xml version="1.0" encoding="utf-8"?>
<ds:datastoreItem xmlns:ds="http://schemas.openxmlformats.org/officeDocument/2006/customXml" ds:itemID="{EAA4AD48-349D-4341-A063-39185BF63B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2858</Words>
  <Characters>17154</Characters>
  <Application>Microsoft Office Word</Application>
  <DocSecurity>4</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Skweres Wojciech</dc:creator>
  <cp:keywords/>
  <dc:description/>
  <cp:lastModifiedBy>Skweres Wojciech</cp:lastModifiedBy>
  <cp:revision>2</cp:revision>
  <dcterms:created xsi:type="dcterms:W3CDTF">2022-05-20T10:50:00Z</dcterms:created>
  <dcterms:modified xsi:type="dcterms:W3CDTF">2022-05-20T10:50:00Z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0x01010021C3323CFF675344B8EF6C966370A71E</vt:lpwstr>
  </property>
</Properties>
</file>