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69C7CE9A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180D7FC1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58EADFA9" w14:textId="2806A4D0" w:rsidR="006A701A" w:rsidRPr="008B4FE6" w:rsidRDefault="004A63DF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4A63DF">
              <w:rPr>
                <w:rFonts w:ascii="Times New Roman" w:hAnsi="Times New Roman"/>
                <w:color w:val="000000"/>
              </w:rPr>
              <w:t>Projekt rozporządzenia Ministra Zdrowia zmieniającego rozporządzenie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A63DF">
              <w:rPr>
                <w:rFonts w:ascii="Times New Roman" w:hAnsi="Times New Roman"/>
                <w:color w:val="000000"/>
              </w:rPr>
              <w:t>w sprawie świadczeń gwarantowanych z zakresu leczenia szpitalnego</w:t>
            </w:r>
          </w:p>
          <w:p w14:paraId="45933A59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3C324E03" w14:textId="0EF72173" w:rsidR="006A701A" w:rsidRDefault="004A63DF" w:rsidP="004A63D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442C01">
              <w:rPr>
                <w:rFonts w:ascii="Times New Roman" w:hAnsi="Times New Roman"/>
                <w:color w:val="000000"/>
              </w:rPr>
              <w:t>Ministerstwo Zdrowia</w:t>
            </w:r>
          </w:p>
          <w:p w14:paraId="70E78F38" w14:textId="7777777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5B34EAEC" w14:textId="0AE1DA0D" w:rsidR="004A63DF" w:rsidRDefault="004A63DF" w:rsidP="00616511">
            <w:pPr>
              <w:spacing w:before="120" w:line="240" w:lineRule="auto"/>
              <w:ind w:hanging="45"/>
              <w:rPr>
                <w:rFonts w:ascii="Times New Roman" w:hAnsi="Times New Roman"/>
                <w:sz w:val="21"/>
                <w:szCs w:val="21"/>
              </w:rPr>
            </w:pPr>
            <w:r w:rsidRPr="004A63DF">
              <w:rPr>
                <w:rFonts w:ascii="Times New Roman" w:hAnsi="Times New Roman"/>
                <w:sz w:val="21"/>
                <w:szCs w:val="21"/>
              </w:rPr>
              <w:t>Maciej Miłkowski – Podsekretarz Stanu w Ministerstwie Zdrowia</w:t>
            </w:r>
          </w:p>
          <w:p w14:paraId="6A386692" w14:textId="31E5E2A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0C3D4DF" w14:textId="26DB6B10" w:rsidR="006A701A" w:rsidRPr="008B4FE6" w:rsidRDefault="004A63DF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bookmarkStart w:id="1" w:name="t3"/>
            <w:r w:rsidRPr="004A63DF">
              <w:rPr>
                <w:rFonts w:ascii="Times New Roman" w:hAnsi="Times New Roman"/>
                <w:color w:val="000000"/>
              </w:rPr>
              <w:t>Dominika Janiszewska-Kajka, Zastępca Dyrektora Departamentu Lecznictwa w Ministerstwie Zdrowia, tel. +48 22 530 02 84, e-mail: d.janiszewska@mz.gov.pl</w:t>
            </w:r>
            <w:bookmarkEnd w:id="1"/>
          </w:p>
        </w:tc>
        <w:tc>
          <w:tcPr>
            <w:tcW w:w="4306" w:type="dxa"/>
            <w:gridSpan w:val="12"/>
            <w:shd w:val="clear" w:color="auto" w:fill="FFFFFF"/>
          </w:tcPr>
          <w:p w14:paraId="06019E83" w14:textId="77777777" w:rsidR="001971E6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</w:p>
          <w:p w14:paraId="43CA1CB8" w14:textId="6CD5B3DF" w:rsidR="001B3460" w:rsidRPr="00642825" w:rsidRDefault="001971E6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11.</w:t>
            </w:r>
            <w:r w:rsidR="00F63015">
              <w:rPr>
                <w:rFonts w:ascii="Times New Roman" w:hAnsi="Times New Roman"/>
                <w:sz w:val="21"/>
                <w:szCs w:val="21"/>
              </w:rPr>
              <w:t>0</w:t>
            </w:r>
            <w:r w:rsidR="00B46CCE">
              <w:rPr>
                <w:rFonts w:ascii="Times New Roman" w:hAnsi="Times New Roman"/>
                <w:sz w:val="21"/>
                <w:szCs w:val="21"/>
              </w:rPr>
              <w:t>5</w:t>
            </w:r>
            <w:r w:rsidR="00F63015">
              <w:rPr>
                <w:rFonts w:ascii="Times New Roman" w:hAnsi="Times New Roman"/>
                <w:sz w:val="21"/>
                <w:szCs w:val="21"/>
              </w:rPr>
              <w:t>.2022 r.</w:t>
            </w:r>
          </w:p>
          <w:p w14:paraId="3BBC910A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4C151070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69970142" w14:textId="363D7C6E" w:rsidR="004A63DF" w:rsidRPr="004A63DF" w:rsidRDefault="00B46CCE" w:rsidP="004A63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4A63DF" w:rsidRPr="004A63DF">
              <w:rPr>
                <w:rFonts w:ascii="Times New Roman" w:hAnsi="Times New Roman"/>
              </w:rPr>
              <w:t xml:space="preserve">rt. 31d ustawy z dnia 27 sierpnia 2004 r. o świadczeniach opieki zdrowotnej finansowanych ze środków publicznych </w:t>
            </w:r>
          </w:p>
          <w:p w14:paraId="5F24706D" w14:textId="685F30AE" w:rsidR="00F76884" w:rsidRPr="0065019F" w:rsidRDefault="004A63DF" w:rsidP="004A63DF">
            <w:pPr>
              <w:spacing w:line="240" w:lineRule="auto"/>
              <w:rPr>
                <w:rFonts w:ascii="Times New Roman" w:hAnsi="Times New Roman"/>
              </w:rPr>
            </w:pPr>
            <w:r w:rsidRPr="004A63DF">
              <w:rPr>
                <w:rFonts w:ascii="Times New Roman" w:hAnsi="Times New Roman"/>
              </w:rPr>
              <w:t>(Dz. U. z 2021 r. poz. 1285, z późn. zm</w:t>
            </w:r>
            <w:r>
              <w:rPr>
                <w:rFonts w:ascii="Times New Roman" w:hAnsi="Times New Roman"/>
              </w:rPr>
              <w:t>.)</w:t>
            </w:r>
          </w:p>
          <w:p w14:paraId="13F9FA57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78058EEE" w14:textId="49D4F29C" w:rsidR="006A701A" w:rsidRPr="008B4FE6" w:rsidRDefault="006A701A" w:rsidP="00F63015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F63015" w:rsidRPr="00F63015">
              <w:rPr>
                <w:rFonts w:ascii="Times New Roman" w:hAnsi="Times New Roman"/>
                <w:b/>
                <w:color w:val="000000"/>
              </w:rPr>
              <w:t>legislacyjnych Ministra Zdrowia: MZ 1239</w:t>
            </w:r>
          </w:p>
          <w:p w14:paraId="79F29194" w14:textId="77777777" w:rsidR="006A701A" w:rsidRPr="008B4FE6" w:rsidRDefault="006A701A" w:rsidP="00F6301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1414116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14DE341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4185ABB0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0EB64C4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7B521D0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50F6994" w14:textId="2F22B4C2" w:rsidR="006A701A" w:rsidRPr="00B37C80" w:rsidRDefault="00F63015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3015">
              <w:rPr>
                <w:rFonts w:ascii="Times New Roman" w:hAnsi="Times New Roman"/>
                <w:color w:val="000000"/>
              </w:rPr>
              <w:t>Obecnie obowiązujące przepisy dotyczące kompleksowej opieki onkologicznej nad świadczeniobiorcą z nowotworem piersi wprowadzone rozporządzeniem Ministra Zdrowia z dnia 24 maja 2019 r. zmieniającym rozporządzenie w sprawie świadczeń gwarantowanych z zakresu leczenia szpitalnego (Dz. U. poz. 1062) powodują wątpliwości interpretacyjne jak również uniemożliwiają znacznej liczbie świadczeniodawców zawieranie umów na realizację przedmiotowego zakresu świadczeń.</w:t>
            </w:r>
          </w:p>
        </w:tc>
      </w:tr>
      <w:tr w:rsidR="006A701A" w:rsidRPr="008B4FE6" w14:paraId="09B6F87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83022E2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11B831B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9E72EE7" w14:textId="64BC7DE5" w:rsidR="00F63015" w:rsidRPr="00216FBA" w:rsidRDefault="00F63015" w:rsidP="00F63015">
            <w:pPr>
              <w:pStyle w:val="USTustnpkodeksu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6145B6">
              <w:rPr>
                <w:rFonts w:ascii="Times New Roman" w:hAnsi="Times New Roman" w:cs="Times New Roman"/>
                <w:sz w:val="22"/>
                <w:szCs w:val="22"/>
              </w:rPr>
              <w:t>Projekt rozporządzenia wprowadza zmiany polegające na uchyleniu w załączniku nr 3a do rozporządzenia części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145B6">
              <w:rPr>
                <w:rFonts w:ascii="Times New Roman" w:hAnsi="Times New Roman" w:cs="Times New Roman"/>
                <w:sz w:val="22"/>
                <w:szCs w:val="22"/>
              </w:rPr>
              <w:t xml:space="preserve"> Ośrodek raka piersi, przy jednoczasowym określeniu w część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145B6">
              <w:rPr>
                <w:rFonts w:ascii="Times New Roman" w:hAnsi="Times New Roman" w:cs="Times New Roman"/>
                <w:sz w:val="22"/>
                <w:szCs w:val="22"/>
              </w:rPr>
              <w:t xml:space="preserve"> Centrum kompetencji raka piersi nowych jednolitych warunków szczegółowych jakie powinni spełniać świadczeniodawcy realizujący świadczenia gwarantowane z zakresu diagnostyki i leczenia onkologicznego w nowotworze piersi. </w:t>
            </w:r>
            <w:r w:rsidRPr="00216FBA">
              <w:rPr>
                <w:rFonts w:ascii="Times New Roman" w:hAnsi="Times New Roman" w:cs="Times New Roman"/>
                <w:sz w:val="22"/>
                <w:szCs w:val="18"/>
              </w:rPr>
              <w:t xml:space="preserve">W załączniku nr 4 do rozporządzenia lp. 48 kompleksowa opieka onkologiczna nad świadczeniobiorcą z nowotworem piersi – moduł leczenie otrzymuje brzmienie, które określa nowe warunki realizacji świadczenia: 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k</w:t>
            </w:r>
            <w:r w:rsidRPr="00216FBA">
              <w:rPr>
                <w:rFonts w:ascii="Times New Roman" w:hAnsi="Times New Roman" w:cs="Times New Roman"/>
                <w:sz w:val="22"/>
                <w:szCs w:val="18"/>
              </w:rPr>
              <w:t>ompleksowa opieka onkologiczna nad  świadczeniobiorcą z nowotworem piersi, w tym został określony zakres świadczeń m.</w:t>
            </w:r>
            <w:r w:rsidR="00B46CCE"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  <w:r w:rsidRPr="00216FBA">
              <w:rPr>
                <w:rFonts w:ascii="Times New Roman" w:hAnsi="Times New Roman" w:cs="Times New Roman"/>
                <w:sz w:val="22"/>
                <w:szCs w:val="18"/>
              </w:rPr>
              <w:t>in. odnoszący się do diagnostyki i monitorowania, leczenia zabiegowego (operacyjnego), zabiegów onkoplastycznych, radioterapii, brachyterapii, porad w zakresie zachowania płodności, oraz porady psychologa lub psychoonkologa.</w:t>
            </w:r>
          </w:p>
          <w:p w14:paraId="44FF2EE2" w14:textId="77777777" w:rsidR="00F63015" w:rsidRDefault="00F63015" w:rsidP="00F63015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lang w:eastAsia="pl-PL"/>
              </w:rPr>
            </w:pPr>
          </w:p>
          <w:p w14:paraId="052C5B53" w14:textId="06EE6C94" w:rsidR="006A701A" w:rsidRPr="00B37C80" w:rsidRDefault="00F63015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7848">
              <w:rPr>
                <w:rFonts w:ascii="Times New Roman" w:hAnsi="Times New Roman"/>
                <w:bCs/>
                <w:lang w:eastAsia="pl-PL"/>
              </w:rPr>
              <w:t xml:space="preserve">Oczekiwanym efektem proponowanego rozwiązania jest wprowadzenie nowego </w:t>
            </w:r>
            <w:r>
              <w:rPr>
                <w:rFonts w:ascii="Times New Roman" w:hAnsi="Times New Roman"/>
                <w:bCs/>
                <w:lang w:eastAsia="pl-PL"/>
              </w:rPr>
              <w:t xml:space="preserve">jednolitego </w:t>
            </w:r>
            <w:r w:rsidRPr="00847848">
              <w:rPr>
                <w:rFonts w:ascii="Times New Roman" w:hAnsi="Times New Roman"/>
                <w:bCs/>
                <w:lang w:eastAsia="pl-PL"/>
              </w:rPr>
              <w:t>modelu kompleksowej diagnostyki i leczenia nowotworów piersi</w:t>
            </w:r>
            <w:r>
              <w:rPr>
                <w:rFonts w:ascii="Times New Roman" w:hAnsi="Times New Roman"/>
                <w:bCs/>
                <w:lang w:eastAsia="pl-PL"/>
              </w:rPr>
              <w:t>.</w:t>
            </w:r>
            <w:r w:rsidRPr="00847848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lang w:eastAsia="pl-PL"/>
              </w:rPr>
              <w:t>M</w:t>
            </w:r>
            <w:r w:rsidRPr="00847848">
              <w:rPr>
                <w:rFonts w:ascii="Times New Roman" w:hAnsi="Times New Roman"/>
                <w:bCs/>
                <w:lang w:eastAsia="pl-PL"/>
              </w:rPr>
              <w:t xml:space="preserve">odel ten </w:t>
            </w:r>
            <w:r>
              <w:rPr>
                <w:rFonts w:ascii="Times New Roman" w:hAnsi="Times New Roman"/>
                <w:bCs/>
                <w:lang w:eastAsia="pl-PL"/>
              </w:rPr>
              <w:t xml:space="preserve">ma </w:t>
            </w:r>
            <w:r w:rsidRPr="00847848">
              <w:rPr>
                <w:rFonts w:ascii="Times New Roman" w:hAnsi="Times New Roman"/>
                <w:bCs/>
                <w:lang w:eastAsia="pl-PL"/>
              </w:rPr>
              <w:t>opiera</w:t>
            </w:r>
            <w:r>
              <w:rPr>
                <w:rFonts w:ascii="Times New Roman" w:hAnsi="Times New Roman"/>
                <w:bCs/>
                <w:lang w:eastAsia="pl-PL"/>
              </w:rPr>
              <w:t>ć</w:t>
            </w:r>
            <w:r w:rsidRPr="00847848">
              <w:rPr>
                <w:rFonts w:ascii="Times New Roman" w:hAnsi="Times New Roman"/>
                <w:bCs/>
                <w:lang w:eastAsia="pl-PL"/>
              </w:rPr>
              <w:t xml:space="preserve"> się na skoordynowanych działaniach jednego ośrodka, zapewniającego wymaganą infrastrukturę do realizacji świadczeń w ramach opieki kompleksowej oraz wielodyscyplinarny zespół terapeutyczny, planujący i koordynujący cały proces leczenia</w:t>
            </w:r>
            <w:r>
              <w:rPr>
                <w:rFonts w:ascii="Times New Roman" w:hAnsi="Times New Roman"/>
                <w:bCs/>
                <w:lang w:eastAsia="pl-PL"/>
              </w:rPr>
              <w:t>. Dodatkowym spodziewanym efektem procedowanych zmian będzie zwiększenie liczby zawartych umów na realizację kompleksowej opieki onkologicznej nad pacjentem z nowotworem piersi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A701A" w:rsidRPr="008B4FE6" w14:paraId="7CA73398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2589DB6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4CBB061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1C27979" w14:textId="6E4C12E4" w:rsidR="006A701A" w:rsidRPr="00B37C80" w:rsidRDefault="00F63015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63015">
              <w:rPr>
                <w:rFonts w:ascii="Times New Roman" w:hAnsi="Times New Roman"/>
                <w:color w:val="000000"/>
                <w:spacing w:val="-2"/>
              </w:rPr>
              <w:t>Idea wprowadzenia ośrodków kompleksowej opieki nad świadczeniobiorcą z nowotworem piersi uzyskała poparcie wielu instytucji działających na rzecz poprawy zdrowia publicznego. Wśród tych inicjatyw należy wyróżnić rezolucję Parlamentu Europejskiego</w:t>
            </w:r>
            <w:r w:rsidR="0003119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31193" w:rsidRPr="00031193">
              <w:rPr>
                <w:rFonts w:ascii="Times New Roman" w:hAnsi="Times New Roman"/>
                <w:color w:val="000000"/>
                <w:spacing w:val="-2"/>
              </w:rPr>
              <w:t>w sprawie raka piersi w rozszerzonej Unii Europejskiej</w:t>
            </w:r>
            <w:r w:rsidRPr="00F63015">
              <w:rPr>
                <w:rFonts w:ascii="Times New Roman" w:hAnsi="Times New Roman"/>
                <w:color w:val="000000"/>
                <w:spacing w:val="-2"/>
              </w:rPr>
              <w:t>, wzywające państwa członkowskie Unii Europejskiej do stworzenia sieci takich ośrodków oraz działania towarzystw naukowych (np. SIS, EUSOMA). Badania naukowe wskazują na wysoką efektywność wprowadzenia ośrodków, dowodząc kilkunastoprocentowej poprawy wskaźnika 5-letnich przeżyć po wdrożeniu odpowiednich rozwiązań. Sieć ośrodków powinna powstać w oparciu o kryteria populacyjne, które mogą mieć wpływ na dostępność świadczeń dla świadczeniobiorców.</w:t>
            </w:r>
          </w:p>
        </w:tc>
      </w:tr>
      <w:tr w:rsidR="006A701A" w:rsidRPr="008B4FE6" w14:paraId="12B691DE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DE4EF21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29CB047D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106B311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910363D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DFDC2A9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B21C68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7AB78A76" w14:textId="77777777" w:rsidTr="00F6301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6C77ED26" w14:textId="275D9BC5" w:rsidR="00260F33" w:rsidRPr="008B4FE6" w:rsidRDefault="00F63015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42C01">
              <w:rPr>
                <w:rFonts w:ascii="Times New Roman" w:hAnsi="Times New Roman"/>
                <w:color w:val="000000"/>
                <w:spacing w:val="-2"/>
              </w:rPr>
              <w:t>Świadczeniobiorcy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14:paraId="4FD1BE6B" w14:textId="7EBCE77A" w:rsidR="00260F33" w:rsidRPr="00B37C80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63015">
              <w:rPr>
                <w:rFonts w:ascii="Times New Roman" w:hAnsi="Times New Roman"/>
                <w:color w:val="000000"/>
                <w:spacing w:val="-2"/>
              </w:rPr>
              <w:t>Około 20 000 (nowych rozpoznanych zachorowań wg prognozy zapadalności na 2022 r.)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3C82F333" w14:textId="4B97AB14" w:rsidR="00260F33" w:rsidRPr="00B37C80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Ministerstwo Zdrowia Mapy Potrzeb Zdrowotnych (</w:t>
            </w:r>
            <w:r w:rsidRPr="00D32804">
              <w:rPr>
                <w:rFonts w:ascii="Times New Roman" w:hAnsi="Times New Roman"/>
                <w:color w:val="000000"/>
                <w:spacing w:val="-2"/>
              </w:rPr>
              <w:t xml:space="preserve">Prognoza epidemiologiczna dla Polski i Unii Europejskiej na lata 2020 </w:t>
            </w:r>
            <w:r w:rsidRPr="00D8050E">
              <w:t>–</w:t>
            </w:r>
            <w:r w:rsidRPr="00D32804">
              <w:rPr>
                <w:rFonts w:ascii="Times New Roman" w:hAnsi="Times New Roman"/>
                <w:color w:val="000000"/>
                <w:spacing w:val="-2"/>
              </w:rPr>
              <w:t xml:space="preserve"> 2034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)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06B8CDB0" w14:textId="19B1DF7F" w:rsidR="00260F33" w:rsidRPr="00B37C80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Zapewnieni</w:t>
            </w:r>
            <w:r>
              <w:rPr>
                <w:rFonts w:ascii="Times New Roman" w:hAnsi="Times New Roman"/>
              </w:rPr>
              <w:t>e ciągłości i jakości opieki w przypadku nowotworu piersi oraz poprawa komfortu i jakości życia. Zwiększenie szans na wykrycie nowotworu i leczenie we wczesnym stadium choroby.</w:t>
            </w:r>
          </w:p>
        </w:tc>
      </w:tr>
      <w:tr w:rsidR="00260F33" w:rsidRPr="008B4FE6" w14:paraId="3256699D" w14:textId="77777777" w:rsidTr="00F6301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6E47D38A" w14:textId="59439DF3" w:rsidR="00260F33" w:rsidRPr="008B4FE6" w:rsidRDefault="00F63015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42C01">
              <w:rPr>
                <w:rFonts w:ascii="Times New Roman" w:hAnsi="Times New Roman"/>
                <w:color w:val="000000"/>
                <w:spacing w:val="-2"/>
              </w:rPr>
              <w:t>Świadczeniodawcy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14:paraId="548B4CF1" w14:textId="67BAAE83" w:rsidR="00260F33" w:rsidRPr="00B37C80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983755">
              <w:rPr>
                <w:rFonts w:ascii="Times New Roman" w:eastAsia="Times New Roman" w:hAnsi="Times New Roman"/>
                <w:lang w:eastAsia="pl-PL"/>
              </w:rPr>
              <w:t>ok</w:t>
            </w:r>
            <w:r>
              <w:rPr>
                <w:rFonts w:ascii="Times New Roman" w:eastAsia="Times New Roman" w:hAnsi="Times New Roman"/>
                <w:lang w:eastAsia="pl-PL"/>
              </w:rPr>
              <w:t>oło</w:t>
            </w:r>
            <w:r w:rsidRPr="00983755">
              <w:rPr>
                <w:rFonts w:ascii="Times New Roman" w:eastAsia="Times New Roman" w:hAnsi="Times New Roman"/>
                <w:lang w:eastAsia="pl-PL"/>
              </w:rPr>
              <w:t xml:space="preserve"> 60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5A64EE91" w14:textId="471FE247" w:rsidR="00F63015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Narodowy Fundusz Zdrowia (NFZ)</w:t>
            </w:r>
          </w:p>
          <w:p w14:paraId="7F13A478" w14:textId="6D210B56" w:rsidR="00260F33" w:rsidRPr="00B37C80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na podstawie danych sprawozdanych do Narodowego Funduszu Zdrowia za 2020 r.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2F999784" w14:textId="277DEF7E" w:rsidR="00260F33" w:rsidRPr="00B37C80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Określenie standardu i realizacji opieki nad </w:t>
            </w:r>
            <w:r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świadczeniobiorcą 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>z nowotworem piersi.</w:t>
            </w:r>
          </w:p>
        </w:tc>
      </w:tr>
      <w:tr w:rsidR="00260F33" w:rsidRPr="008B4FE6" w14:paraId="71C9BFE4" w14:textId="77777777" w:rsidTr="00F6301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381E6A87" w14:textId="78D85768" w:rsidR="00260F33" w:rsidRPr="008B4FE6" w:rsidRDefault="00F63015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NFZ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14:paraId="01E98341" w14:textId="3A8B549E" w:rsidR="00260F33" w:rsidRPr="00B37C80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765D0FA7" w14:textId="23B16835" w:rsidR="00260F33" w:rsidRPr="00B37C80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983755">
              <w:rPr>
                <w:rFonts w:ascii="Times New Roman" w:hAnsi="Times New Roman"/>
                <w:color w:val="000000"/>
                <w:spacing w:val="-2"/>
              </w:rPr>
              <w:t xml:space="preserve">Ustawa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 dnia 27 sierpnia 2004 r. </w:t>
            </w:r>
            <w:r w:rsidRPr="00983755">
              <w:rPr>
                <w:rFonts w:ascii="Times New Roman" w:hAnsi="Times New Roman"/>
                <w:color w:val="000000"/>
                <w:spacing w:val="-2"/>
              </w:rPr>
              <w:t>o świadczeniach opieki zdrowotnej finansowanych ze środków publicznych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6B2E7EF7" w14:textId="382AC6C4" w:rsidR="00260F33" w:rsidRPr="00B37C80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Zawieranie nowych umów 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>o udzielanie świadczeń opieki zdrowotnej.</w:t>
            </w:r>
          </w:p>
        </w:tc>
      </w:tr>
      <w:tr w:rsidR="006A701A" w:rsidRPr="008B4FE6" w14:paraId="0373B245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A330C82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F63015" w:rsidRPr="008B4FE6" w14:paraId="08037BAB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6C3A928B" w14:textId="77777777" w:rsidR="00F63015" w:rsidRPr="0010032A" w:rsidRDefault="00F63015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032A">
              <w:rPr>
                <w:rFonts w:ascii="Times New Roman" w:hAnsi="Times New Roman"/>
                <w:color w:val="000000"/>
                <w:shd w:val="clear" w:color="auto" w:fill="FFFFFF"/>
              </w:rPr>
              <w:t>Projekt rozporządzenia nie był przedmiotem pre-konsultacji.</w:t>
            </w:r>
          </w:p>
          <w:p w14:paraId="1E14CF1E" w14:textId="77777777" w:rsidR="00F63015" w:rsidRPr="0010032A" w:rsidRDefault="00F63015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1F5A65AD" w14:textId="77777777" w:rsidR="00F63015" w:rsidRDefault="00F63015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032A">
              <w:rPr>
                <w:rFonts w:ascii="Times New Roman" w:hAnsi="Times New Roman"/>
                <w:color w:val="000000"/>
                <w:shd w:val="clear" w:color="auto" w:fill="FFFFFF"/>
              </w:rPr>
              <w:t>W ramach konsultacji publicznych i opiniowania projekt zosta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nie</w:t>
            </w:r>
            <w:r w:rsidRPr="001003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przesłany do zaopiniowania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 z 30-dniowym terminem na zgłaszanie uwag,</w:t>
            </w:r>
            <w:r w:rsidRPr="001003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przez następujące podmioty:</w:t>
            </w:r>
          </w:p>
          <w:p w14:paraId="69FB6507" w14:textId="77777777" w:rsidR="00F63015" w:rsidRDefault="00F63015" w:rsidP="00F6301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E08A1">
              <w:rPr>
                <w:rFonts w:ascii="Times New Roman" w:hAnsi="Times New Roman"/>
                <w:color w:val="000000"/>
                <w:shd w:val="clear" w:color="auto" w:fill="FFFFFF"/>
              </w:rPr>
              <w:t>konsultanci krajowi w wybranych dziedzinach medycyny oraz konsultanci krajowi w wybranych dziedzinach pielęgniarstwa (</w:t>
            </w:r>
            <w:r w:rsidRPr="00BE08A1">
              <w:rPr>
                <w:rFonts w:ascii="Times New Roman" w:hAnsi="Times New Roman"/>
                <w:color w:val="000000"/>
                <w:spacing w:val="-2"/>
              </w:rPr>
              <w:t>Konsultant Krajowy w dziedzinie pielęgniarstwa</w:t>
            </w:r>
            <w:r w:rsidRPr="00BE08A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BE08A1">
              <w:rPr>
                <w:rFonts w:ascii="Times New Roman" w:hAnsi="Times New Roman"/>
                <w:color w:val="000000"/>
                <w:spacing w:val="-2"/>
              </w:rPr>
              <w:t>Konsultant Krajowy w dziedzinie pielęgniarstwa onkologicznego</w:t>
            </w:r>
            <w:r w:rsidRPr="00BE08A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BE08A1">
              <w:rPr>
                <w:rFonts w:ascii="Times New Roman" w:hAnsi="Times New Roman"/>
                <w:color w:val="000000"/>
                <w:spacing w:val="-2"/>
              </w:rPr>
              <w:t>Konsultant Krajowy w dziedzinie pielęgniarstwa chirurgicznego i operacyjnego</w:t>
            </w:r>
            <w:r w:rsidRPr="00BE08A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BE08A1">
              <w:rPr>
                <w:rFonts w:ascii="Times New Roman" w:hAnsi="Times New Roman"/>
                <w:color w:val="000000"/>
                <w:spacing w:val="-2"/>
              </w:rPr>
              <w:t>Konsultant Krajowy w dziedzinie chirurgii ogólnej</w:t>
            </w:r>
            <w:r w:rsidRPr="00BE08A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BE08A1">
              <w:rPr>
                <w:rFonts w:ascii="Times New Roman" w:hAnsi="Times New Roman"/>
                <w:color w:val="000000"/>
                <w:spacing w:val="-2"/>
              </w:rPr>
              <w:t>Konsultant Krajowy w dziedzinie chirurgii onkologicznej</w:t>
            </w:r>
            <w:r w:rsidRPr="00BE08A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BE08A1">
              <w:rPr>
                <w:rFonts w:ascii="Times New Roman" w:hAnsi="Times New Roman"/>
                <w:color w:val="000000"/>
                <w:spacing w:val="-2"/>
              </w:rPr>
              <w:t>Konsultant Krajowy w dziedzinie chirurgii plastycznej</w:t>
            </w:r>
            <w:r w:rsidRPr="00BE08A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BE08A1">
              <w:rPr>
                <w:rFonts w:ascii="Times New Roman" w:hAnsi="Times New Roman"/>
                <w:color w:val="000000"/>
                <w:spacing w:val="-2"/>
              </w:rPr>
              <w:t>Konsultant Krajowy w dziedzinie ginekologii onkologicznej</w:t>
            </w:r>
            <w:r w:rsidRPr="00BE08A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BE08A1">
              <w:rPr>
                <w:rFonts w:ascii="Times New Roman" w:hAnsi="Times New Roman"/>
                <w:color w:val="000000"/>
                <w:spacing w:val="-2"/>
              </w:rPr>
              <w:t>Konsultant Krajowy w dziedzinie onkologii klinicznej</w:t>
            </w:r>
            <w:r w:rsidRPr="00BE08A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BE08A1">
              <w:rPr>
                <w:rFonts w:ascii="Times New Roman" w:hAnsi="Times New Roman"/>
                <w:color w:val="000000"/>
                <w:spacing w:val="-2"/>
              </w:rPr>
              <w:t>Konsultant Krajowy w dziedzinie</w:t>
            </w:r>
            <w:r w:rsidRPr="00BE08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E08A1">
              <w:rPr>
                <w:rFonts w:ascii="Times New Roman" w:hAnsi="Times New Roman"/>
                <w:color w:val="000000"/>
                <w:spacing w:val="-2"/>
              </w:rPr>
              <w:t>medycyny nuklearnej</w:t>
            </w:r>
            <w:r w:rsidRPr="00BE08A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BE08A1">
              <w:rPr>
                <w:rFonts w:ascii="Times New Roman" w:hAnsi="Times New Roman"/>
                <w:color w:val="000000"/>
                <w:spacing w:val="-2"/>
              </w:rPr>
              <w:t>Konsultant Krajowy w dziedzinie patomorfologii</w:t>
            </w:r>
            <w:r w:rsidRPr="00BE08A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BE08A1">
              <w:rPr>
                <w:rFonts w:ascii="Times New Roman" w:hAnsi="Times New Roman"/>
                <w:color w:val="000000"/>
                <w:spacing w:val="-2"/>
              </w:rPr>
              <w:t>Konsultant Krajowy w dziedzinie</w:t>
            </w:r>
            <w:r w:rsidRPr="00BE08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E08A1">
              <w:rPr>
                <w:rFonts w:ascii="Times New Roman" w:hAnsi="Times New Roman"/>
                <w:color w:val="000000"/>
                <w:spacing w:val="-2"/>
              </w:rPr>
              <w:t>radiologii i diagnostyki obrazowej</w:t>
            </w:r>
            <w:r w:rsidRPr="00BE08A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BE08A1">
              <w:rPr>
                <w:rFonts w:ascii="Times New Roman" w:hAnsi="Times New Roman"/>
                <w:color w:val="000000"/>
                <w:spacing w:val="-2"/>
              </w:rPr>
              <w:t>Konsultant Krajowy w dziedzinie</w:t>
            </w:r>
            <w:r w:rsidRPr="00BE08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E08A1">
              <w:rPr>
                <w:rFonts w:ascii="Times New Roman" w:hAnsi="Times New Roman"/>
                <w:color w:val="000000"/>
                <w:spacing w:val="-2"/>
              </w:rPr>
              <w:t>radioterapii</w:t>
            </w:r>
            <w:r w:rsidRPr="00BE08A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BE08A1">
              <w:rPr>
                <w:rFonts w:ascii="Times New Roman" w:hAnsi="Times New Roman"/>
                <w:color w:val="000000"/>
                <w:spacing w:val="-2"/>
              </w:rPr>
              <w:t>Konsultant Krajowy w dziedzinie rehabilitacji medycznej);</w:t>
            </w:r>
          </w:p>
          <w:p w14:paraId="6C5FACCF" w14:textId="77777777" w:rsidR="00F63015" w:rsidRPr="00BE08A1" w:rsidRDefault="00F63015" w:rsidP="00F6301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BE08A1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amorządy zawodowe (Naczelna Izba Lekarska, Naczelna Izba Aptekarska, Krajowa Izba Diagnostów Laboratoryjnych, Naczelna Izba Pielęgniarek i Położnych, Krajowa Izba Fizjoterapeutów);</w:t>
            </w:r>
          </w:p>
          <w:p w14:paraId="2D75774A" w14:textId="77777777" w:rsidR="00F63015" w:rsidRPr="00BE08A1" w:rsidRDefault="00F63015" w:rsidP="00F6301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E08A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związki zawodowe oraz stowarzyszenia reprezentujące zawody medyczne (Ogólnopolskie Porozumienie Związków Zawodowych, Ogólnopolski Związek Zawodowy Lekarzy, Ogólnopolski Związek Zawodowy Pielęgniarek i Położnych, Ogólnopolski Związek Zawodowy Położnych, </w:t>
            </w:r>
            <w:r w:rsidRPr="00BE08A1">
              <w:rPr>
                <w:rFonts w:ascii="Times New Roman" w:eastAsia="Times New Roman" w:hAnsi="Times New Roman"/>
                <w:bCs/>
                <w:color w:val="000000" w:themeColor="text1"/>
              </w:rPr>
              <w:t>Forum Związków Zawodowych, Związek Przedsiębiorców i Pracodawców, Związek Rzemiosła Polskiego, Krajowy Sekretariat Ochrony Zdrowia NSZZ „Solidarność 80”, NSZZ Solidarność,</w:t>
            </w:r>
            <w:r w:rsidRPr="00592796">
              <w:t xml:space="preserve"> </w:t>
            </w:r>
            <w:r w:rsidRPr="00BE08A1">
              <w:rPr>
                <w:rFonts w:ascii="Times New Roman" w:eastAsia="Times New Roman" w:hAnsi="Times New Roman"/>
                <w:bCs/>
                <w:color w:val="000000" w:themeColor="text1"/>
              </w:rPr>
              <w:t>Porozumienie Pracodawców Ochrony Zdrowia, Federacja Związków Pracodawców Ochrony Zdrowia „Porozumienie Zielonogórskie”</w:t>
            </w:r>
            <w:r w:rsidRPr="00BE08A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);</w:t>
            </w:r>
          </w:p>
          <w:p w14:paraId="0E6E0F8D" w14:textId="6FDB6A44" w:rsidR="00F63015" w:rsidRPr="00BE08A1" w:rsidRDefault="00F63015" w:rsidP="00F6301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E08A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stowarzyszenia w ochronie zdrowia, w tym działające na rzecz pacjentów (Stowarzyszenie Primum Non Nocere, Federacja Pacjentów Polskich, Federacja Przedsiębiorców Polskich, Instytut Praw Pacjenta i Edukacji Zdrowotnej, Obywatelskie Stowarzyszenie – Dla Dobra Pacjenta, Business Centre Club – Związek Pracodawców, Konfederacja Lewiatan, Pracodawcy RP</w:t>
            </w:r>
            <w:r w:rsidRPr="00BE08A1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); </w:t>
            </w:r>
          </w:p>
          <w:p w14:paraId="2F575A82" w14:textId="77777777" w:rsidR="00F63015" w:rsidRPr="00BE08A1" w:rsidRDefault="00F63015" w:rsidP="00F6301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E08A1">
              <w:rPr>
                <w:rFonts w:ascii="Times New Roman" w:eastAsia="Times New Roman" w:hAnsi="Times New Roman"/>
                <w:bCs/>
                <w:color w:val="000000" w:themeColor="text1"/>
                <w:lang w:eastAsia="pl-PL"/>
              </w:rPr>
              <w:t>towarzystwa naukowe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eastAsia="pl-PL"/>
              </w:rPr>
              <w:t xml:space="preserve"> (</w:t>
            </w:r>
            <w:r w:rsidRPr="00BE08A1">
              <w:rPr>
                <w:rFonts w:ascii="Times New Roman" w:eastAsia="Times New Roman" w:hAnsi="Times New Roman"/>
                <w:bCs/>
                <w:color w:val="000000" w:themeColor="text1"/>
                <w:lang w:eastAsia="pl-PL"/>
              </w:rPr>
              <w:t>Towarzystwo Chirurgów Polskich,</w:t>
            </w:r>
            <w:r>
              <w:t xml:space="preserve"> </w:t>
            </w:r>
            <w:r w:rsidRPr="00BE08A1">
              <w:rPr>
                <w:rFonts w:ascii="Times New Roman" w:eastAsia="Times New Roman" w:hAnsi="Times New Roman"/>
                <w:bCs/>
                <w:color w:val="000000" w:themeColor="text1"/>
                <w:lang w:eastAsia="pl-PL"/>
              </w:rPr>
              <w:t>Polskie Towarzystwo Chirurgii Onkologicznej, Polskie Towarzystwo Ginekologów i Położników, Polskie Towarzystwo Onkologiczne, Polskie Towarzystwo Onkologii Klinicznej, Narodowy Instytut Onkologii im. Marii Skłodowskiej-Curie – Państwowy Instytut Badawczy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eastAsia="pl-PL"/>
              </w:rPr>
              <w:t>)</w:t>
            </w:r>
            <w:r w:rsidRPr="00BE08A1">
              <w:rPr>
                <w:rFonts w:ascii="Times New Roman" w:eastAsia="Times New Roman" w:hAnsi="Times New Roman"/>
                <w:bCs/>
                <w:color w:val="000000" w:themeColor="text1"/>
                <w:lang w:eastAsia="pl-PL"/>
              </w:rPr>
              <w:t>;</w:t>
            </w:r>
          </w:p>
          <w:p w14:paraId="4537EF3D" w14:textId="1AF992C5" w:rsidR="00F63015" w:rsidRPr="00BE08A1" w:rsidRDefault="00F63015" w:rsidP="00F6301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E08A1">
              <w:rPr>
                <w:rFonts w:ascii="Times New Roman" w:eastAsia="Times New Roman" w:hAnsi="Times New Roman"/>
                <w:bCs/>
                <w:lang w:eastAsia="pl-PL"/>
              </w:rPr>
              <w:t>Prokuratori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ę</w:t>
            </w:r>
            <w:r w:rsidRPr="00BE08A1">
              <w:rPr>
                <w:rFonts w:ascii="Times New Roman" w:eastAsia="Times New Roman" w:hAnsi="Times New Roman"/>
                <w:bCs/>
                <w:lang w:eastAsia="pl-PL"/>
              </w:rPr>
              <w:t xml:space="preserve"> Generaln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ą</w:t>
            </w:r>
            <w:r w:rsidRPr="00BE08A1">
              <w:rPr>
                <w:rFonts w:ascii="Times New Roman" w:eastAsia="Times New Roman" w:hAnsi="Times New Roman"/>
                <w:bCs/>
                <w:lang w:eastAsia="pl-PL"/>
              </w:rPr>
              <w:t xml:space="preserve"> Rzeczypospolitej Polskiej,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BE08A1">
              <w:rPr>
                <w:rFonts w:ascii="Times New Roman" w:eastAsia="Times New Roman" w:hAnsi="Times New Roman"/>
                <w:bCs/>
                <w:lang w:eastAsia="pl-PL"/>
              </w:rPr>
              <w:t>Narodow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y</w:t>
            </w:r>
            <w:r w:rsidRPr="00BE08A1">
              <w:rPr>
                <w:rFonts w:ascii="Times New Roman" w:eastAsia="Times New Roman" w:hAnsi="Times New Roman"/>
                <w:bCs/>
                <w:lang w:eastAsia="pl-PL"/>
              </w:rPr>
              <w:t xml:space="preserve"> Fundusz Zdrowia, Prezesa Agencji Oceny Technologii Medycznych i Taryfikacji, Prezesa Urzędu Rejestracji Produktów Leczniczych, Wyrobów Medycznych i Produktów Biobójczych, Rzecznika Praw Pacjenta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, Prezesa Urzędu Ochrony Konkurencji </w:t>
            </w:r>
            <w:r w:rsidR="00BC57E0">
              <w:rPr>
                <w:rFonts w:ascii="Times New Roman" w:eastAsia="Times New Roman" w:hAnsi="Times New Roman"/>
                <w:bCs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i Konsumentów, Prezesa Urzędu Ochrony Danych Osobowych</w:t>
            </w:r>
            <w:r w:rsidRPr="00BE08A1">
              <w:rPr>
                <w:rFonts w:ascii="Times New Roman" w:eastAsia="Times New Roman" w:hAnsi="Times New Roman"/>
                <w:bCs/>
                <w:lang w:eastAsia="pl-PL"/>
              </w:rPr>
              <w:t xml:space="preserve">; </w:t>
            </w:r>
          </w:p>
          <w:p w14:paraId="0DE1D1FA" w14:textId="77777777" w:rsidR="00F63015" w:rsidRPr="00BE08A1" w:rsidRDefault="00F63015" w:rsidP="00F6301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E08A1">
              <w:rPr>
                <w:rFonts w:ascii="Times New Roman" w:eastAsia="Times New Roman" w:hAnsi="Times New Roman"/>
                <w:bCs/>
                <w:color w:val="000000" w:themeColor="text1"/>
              </w:rPr>
              <w:t>Federację Przedsiębiorców Polskich;</w:t>
            </w:r>
          </w:p>
          <w:p w14:paraId="2B411CFE" w14:textId="77777777" w:rsidR="00F63015" w:rsidRPr="00413543" w:rsidRDefault="00F63015" w:rsidP="00F6301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413543">
              <w:rPr>
                <w:rFonts w:ascii="Times New Roman" w:eastAsia="Times New Roman" w:hAnsi="Times New Roman"/>
                <w:bCs/>
                <w:color w:val="000000" w:themeColor="text1"/>
              </w:rPr>
              <w:t>Narodow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y</w:t>
            </w:r>
            <w:r w:rsidRPr="00413543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Instytut Zdrowia Publicznego PZH – Państwow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y</w:t>
            </w:r>
            <w:r w:rsidRPr="00413543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Instytu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t Badawczy;</w:t>
            </w:r>
          </w:p>
          <w:p w14:paraId="7C020673" w14:textId="77777777" w:rsidR="00F63015" w:rsidRPr="00BE08A1" w:rsidRDefault="00F63015" w:rsidP="00F6301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E08A1">
              <w:rPr>
                <w:rFonts w:ascii="Times New Roman" w:eastAsia="Times New Roman" w:hAnsi="Times New Roman"/>
                <w:bCs/>
                <w:color w:val="000000" w:themeColor="text1"/>
              </w:rPr>
              <w:t>Rad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ę</w:t>
            </w:r>
            <w:r w:rsidRPr="00BE08A1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Działalności Pożytku Publicznego, Rad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ę</w:t>
            </w:r>
            <w:r w:rsidRPr="00BE08A1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Dialogu Społecznego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.</w:t>
            </w:r>
          </w:p>
          <w:p w14:paraId="74BE633C" w14:textId="77777777" w:rsidR="00F63015" w:rsidRDefault="00F63015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6F1DF92" w14:textId="2E36A39E" w:rsidR="00F63015" w:rsidRPr="00BE08A1" w:rsidRDefault="00F63015" w:rsidP="00F63015">
            <w:pPr>
              <w:spacing w:before="12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E08A1">
              <w:rPr>
                <w:rFonts w:ascii="Times New Roman" w:hAnsi="Times New Roman"/>
                <w:shd w:val="clear" w:color="auto" w:fill="FFFFFF"/>
              </w:rPr>
              <w:t xml:space="preserve">Projekt rozporządzenia zostanie udostępniony w Biuletynie Informacji Publicznej Ministerstwa Zdrowia zgodnie z art. </w:t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  <w:r w:rsidRPr="00BE08A1">
              <w:rPr>
                <w:rFonts w:ascii="Times New Roman" w:hAnsi="Times New Roman"/>
                <w:shd w:val="clear" w:color="auto" w:fill="FFFFFF"/>
              </w:rPr>
              <w:t>5 ustawy z dnia 7 lipca 2005 r. o działalności lobbingowej w procesie stanowienia prawa (Dz. U. z 2017 r. poz. 248) oraz w Biuletynie Informacji Publicznej Rządowego Centrum Legislacji, zgodnie z § 52 uchwały nr 190 Rady Ministrów z dnia 29 października 2013 r. – Regulamin pracy Rady Ministrów (M.P. z 20</w:t>
            </w:r>
            <w:r>
              <w:rPr>
                <w:rFonts w:ascii="Times New Roman" w:hAnsi="Times New Roman"/>
                <w:shd w:val="clear" w:color="auto" w:fill="FFFFFF"/>
              </w:rPr>
              <w:t>22</w:t>
            </w:r>
            <w:r w:rsidR="00B46CC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E08A1">
              <w:rPr>
                <w:rFonts w:ascii="Times New Roman" w:hAnsi="Times New Roman"/>
                <w:shd w:val="clear" w:color="auto" w:fill="FFFFFF"/>
              </w:rPr>
              <w:t>r. poz.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348</w:t>
            </w:r>
            <w:r w:rsidRPr="00BE08A1">
              <w:rPr>
                <w:rFonts w:ascii="Times New Roman" w:hAnsi="Times New Roman"/>
                <w:shd w:val="clear" w:color="auto" w:fill="FFFFFF"/>
              </w:rPr>
              <w:t>).</w:t>
            </w:r>
          </w:p>
          <w:p w14:paraId="481AB7BC" w14:textId="77777777" w:rsidR="00F63015" w:rsidRPr="00BE08A1" w:rsidRDefault="00F63015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D802476" w14:textId="44077D04" w:rsidR="00F63015" w:rsidRPr="00B37C80" w:rsidRDefault="00F63015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E08A1">
              <w:rPr>
                <w:rFonts w:ascii="Times New Roman" w:hAnsi="Times New Roman"/>
              </w:rPr>
              <w:t>Wyniki konsultacji publicznych i opiniowania zostaną przedstawione w raporcie z konsultacji publicznych i opiniowania dołączonym do niniejszej Oceny Skutków Regulacji.</w:t>
            </w:r>
          </w:p>
        </w:tc>
      </w:tr>
      <w:tr w:rsidR="00F63015" w:rsidRPr="008B4FE6" w14:paraId="481ACE34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8ABF676" w14:textId="77777777" w:rsidR="00F63015" w:rsidRPr="008B4FE6" w:rsidRDefault="00F63015" w:rsidP="00F6301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F63015" w:rsidRPr="008B4FE6" w14:paraId="2FA5B2D5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76589B7" w14:textId="77777777" w:rsidR="00F63015" w:rsidRPr="00C53F26" w:rsidRDefault="00F63015" w:rsidP="00F63015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1D610FBE" w14:textId="77777777" w:rsidR="00F63015" w:rsidRPr="00C53F26" w:rsidRDefault="00F63015" w:rsidP="00F63015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F63015" w:rsidRPr="008B4FE6" w14:paraId="6042FDCD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02CA61CF" w14:textId="77777777" w:rsidR="00F63015" w:rsidRPr="00C53F26" w:rsidRDefault="00F63015" w:rsidP="00F63015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917002B" w14:textId="77777777" w:rsidR="00F63015" w:rsidRPr="00C53F26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6E2D6A" w14:textId="77777777" w:rsidR="00F63015" w:rsidRPr="00C53F26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D12A68" w14:textId="77777777" w:rsidR="00F63015" w:rsidRPr="00C53F26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E5484A9" w14:textId="77777777" w:rsidR="00F63015" w:rsidRPr="00C53F26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724008" w14:textId="77777777" w:rsidR="00F63015" w:rsidRPr="00C53F26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90F3777" w14:textId="77777777" w:rsidR="00F63015" w:rsidRPr="00C53F26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7CFB1CA" w14:textId="77777777" w:rsidR="00F63015" w:rsidRPr="00C53F26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5E458E5" w14:textId="77777777" w:rsidR="00F63015" w:rsidRPr="00C53F26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32F9BE" w14:textId="77777777" w:rsidR="00F63015" w:rsidRPr="00C53F26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A3E2D6" w14:textId="77777777" w:rsidR="00F63015" w:rsidRPr="00C53F26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4420C7A" w14:textId="77777777" w:rsidR="00F63015" w:rsidRPr="00C53F26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4E56AE7" w14:textId="77777777" w:rsidR="00F63015" w:rsidRPr="00C53F26" w:rsidRDefault="00F63015" w:rsidP="00F63015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F63015" w:rsidRPr="008B4FE6" w14:paraId="2C586ADE" w14:textId="77777777" w:rsidTr="00C4133A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50F922B" w14:textId="77777777" w:rsidR="00F63015" w:rsidRPr="00C53F2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167364A" w14:textId="1AE85E4F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F9A9757" w14:textId="6B639FD8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8ACB201" w14:textId="67F80605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435C28D" w14:textId="310BE507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D759488" w14:textId="305E1702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2D0023E" w14:textId="24A57CEC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0F2E062" w14:textId="7BB6315D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09703F7" w14:textId="1790AF81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C7FF805" w14:textId="43248734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45A90C3" w14:textId="3E6305B7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170647A" w14:textId="77DF1837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2FCB7BC8" w14:textId="53B05D18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63015" w:rsidRPr="008B4FE6" w14:paraId="6ECCE923" w14:textId="77777777" w:rsidTr="00C4133A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7089DDD" w14:textId="77777777" w:rsidR="00F63015" w:rsidRPr="00C53F2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09D119D" w14:textId="5F76BFC2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4B95DD9" w14:textId="69A7651E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6520EF1" w14:textId="55DF2276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5143956" w14:textId="6C39FEA7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3E86B30" w14:textId="07EB3B31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664ED32" w14:textId="664A7747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8EC926C" w14:textId="51CECCA3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6BA0B6E" w14:textId="058D6DFF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A555EC3" w14:textId="1DC18EE1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8215CF1" w14:textId="25930CE8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2F77E4A" w14:textId="1562D87B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4BB4B692" w14:textId="0C17A301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C4133A" w:rsidRPr="008B4FE6" w14:paraId="65B61EDD" w14:textId="77777777" w:rsidTr="00C4133A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618C559" w14:textId="77777777" w:rsidR="00C4133A" w:rsidRPr="00C53F26" w:rsidRDefault="00C4133A" w:rsidP="00C413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F57B4E2" w14:textId="4586FC5D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2C31BDE" w14:textId="668C4EF4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210DE5A" w14:textId="2FBDD84F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C2F0035" w14:textId="2120173B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227BF1B" w14:textId="672805AD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9DB3E16" w14:textId="056EB67C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AE98C36" w14:textId="035B7776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CB4D2A1" w14:textId="6702971F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0012A41" w14:textId="696C755F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7BEC932" w14:textId="00DFBA0C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D3944E1" w14:textId="21F10D7E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09142AAF" w14:textId="379F57EB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C4133A" w:rsidRPr="008B4FE6" w14:paraId="2EDA32F4" w14:textId="77777777" w:rsidTr="00C4133A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6CAF355" w14:textId="77777777" w:rsidR="00C4133A" w:rsidRPr="00C53F26" w:rsidRDefault="00C4133A" w:rsidP="00C413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2E5BEB4" w14:textId="76FC99BD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2D1A30F" w14:textId="53A2D534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F693B9B" w14:textId="28DA1B50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320B341" w14:textId="5256835C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8898787" w14:textId="5BFA3C35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F210163" w14:textId="29E4AAA7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603F1E69" w14:textId="447383A3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07E8E43" w14:textId="1E8DDC2F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224A4AA" w14:textId="4344B3FE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2CDDF35" w14:textId="3DB9E49A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EF8B8BC" w14:textId="1F83ACCF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26D40540" w14:textId="198931E8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C4133A" w:rsidRPr="008B4FE6" w14:paraId="3EDE0995" w14:textId="77777777" w:rsidTr="00C4133A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3E19828" w14:textId="77777777" w:rsidR="00C4133A" w:rsidRPr="00C53F26" w:rsidRDefault="00C4133A" w:rsidP="00C413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096DE06" w14:textId="3F4C474E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6D03517" w14:textId="6C5853C0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C9193F0" w14:textId="1391D37B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7E548AA" w14:textId="5C6ACA5B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2215995" w14:textId="07E1F980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47668F7" w14:textId="032D6152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DA5C2A3" w14:textId="7EFB34A4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B28F19B" w14:textId="061F7E15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CC9B407" w14:textId="01349179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10C5FE2" w14:textId="58BD7804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2C75E29" w14:textId="77B21FF8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35740484" w14:textId="078175B1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C4133A" w:rsidRPr="008B4FE6" w14:paraId="55CCC91D" w14:textId="77777777" w:rsidTr="00C4133A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7226A80" w14:textId="77777777" w:rsidR="00C4133A" w:rsidRPr="00C53F26" w:rsidRDefault="00C4133A" w:rsidP="00C413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E5C9461" w14:textId="0C8CBFE0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0B52BF3" w14:textId="0EA9AD2D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163D388" w14:textId="1E653EB0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DB6E278" w14:textId="2D22A747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C1AFC2C" w14:textId="25781142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248F103" w14:textId="0A3AC8E0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352CF71" w14:textId="0C390030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AECE33E" w14:textId="01C8D781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CD6760E" w14:textId="11002DD5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A7BA7DE" w14:textId="4EEB002C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4E3ACA5" w14:textId="287286E1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7D62E3DE" w14:textId="4CAD38FC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C4133A" w:rsidRPr="008B4FE6" w14:paraId="3A2E4A50" w14:textId="77777777" w:rsidTr="00C4133A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C4C34FA" w14:textId="77777777" w:rsidR="00C4133A" w:rsidRPr="00C53F26" w:rsidRDefault="00C4133A" w:rsidP="00C413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29933B0" w14:textId="2C6FEDD2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A60AABF" w14:textId="5D0355B2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98349FC" w14:textId="63FB87A5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CBA4F45" w14:textId="438FBA0E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27FD452" w14:textId="7BE18140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D0127DB" w14:textId="1528701C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062BCC7" w14:textId="4B619F63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6F0C4F4" w14:textId="7B2C8229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DC0BA5B" w14:textId="758A5FFE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5BA04A2" w14:textId="58919247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C5090F1" w14:textId="63A58322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69D56270" w14:textId="5FA4AB48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C4133A" w:rsidRPr="008B4FE6" w14:paraId="5F85DB0A" w14:textId="77777777" w:rsidTr="00C4133A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CE5C0EC" w14:textId="77777777" w:rsidR="00C4133A" w:rsidRPr="00C53F26" w:rsidRDefault="00C4133A" w:rsidP="00C413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526D9C1" w14:textId="4B4BD3A1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E7C878C" w14:textId="3702A599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A68D5CE" w14:textId="7B97BDD0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2DF38C6" w14:textId="0759CF99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891BDFF" w14:textId="1B7DDDF3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A32D713" w14:textId="46B8840D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B71BBE8" w14:textId="2FAEB938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542A279" w14:textId="5D0472A8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85FEB13" w14:textId="0EAF84A8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2CA200E" w14:textId="7E80CA8A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F3C7EFF" w14:textId="2DE7021A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0EE0C22C" w14:textId="12485D90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C4133A" w:rsidRPr="008B4FE6" w14:paraId="22E5650B" w14:textId="77777777" w:rsidTr="00C4133A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D30EC4B" w14:textId="77777777" w:rsidR="00C4133A" w:rsidRPr="00C53F26" w:rsidRDefault="00C4133A" w:rsidP="00C413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8E5D508" w14:textId="7D3A270A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42A814D" w14:textId="3AF8A0A5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DAF484E" w14:textId="6F37B713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875B04E" w14:textId="47774BA3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5F95D41" w14:textId="469D903E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A7B53F1" w14:textId="25B3872C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8500969" w14:textId="735564FE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185D835" w14:textId="2E106574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6C46C01" w14:textId="4610CC50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8703ADB" w14:textId="0D7AE33F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48EAAE3" w14:textId="3E6C949F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203EC3AC" w14:textId="668E5C18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C4133A" w:rsidRPr="008B4FE6" w14:paraId="2FE43E3A" w14:textId="77777777" w:rsidTr="00C4133A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5621C61" w14:textId="77777777" w:rsidR="00C4133A" w:rsidRPr="00C53F26" w:rsidRDefault="00C4133A" w:rsidP="00C413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FE796B9" w14:textId="7E6FF7BB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28DF6BF" w14:textId="287FBA2B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B3FD86C" w14:textId="4715D990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B5E9BAC" w14:textId="2C485044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786F9D0" w14:textId="6D3C0A35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02A82B7" w14:textId="3360745D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9E5A4BC" w14:textId="165CD6D9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9ED9CAE" w14:textId="02AB0C1E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BA0BDFD" w14:textId="76FC80BC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0A579A3" w14:textId="4FE3A216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7383D2E" w14:textId="6ACE0539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338FD4D2" w14:textId="7CAB56BC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C4133A" w:rsidRPr="008B4FE6" w14:paraId="23B4FD72" w14:textId="77777777" w:rsidTr="00C4133A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2340AEA" w14:textId="77777777" w:rsidR="00C4133A" w:rsidRPr="00C53F26" w:rsidRDefault="00C4133A" w:rsidP="00C413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19396AB" w14:textId="542B7464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607C191" w14:textId="221CF12E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29987EE" w14:textId="4B5D24D0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70099E8" w14:textId="4F5A14C1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D1D0C63" w14:textId="4DDB1E1C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E70E0CC" w14:textId="6A1EE486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B6CB9BE" w14:textId="3E31C60A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51E7A60" w14:textId="168753EA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D49923D" w14:textId="60AAE929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A7BEE13" w14:textId="17BFA9BB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F69266B" w14:textId="2EDF2AA0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5FF3B6B4" w14:textId="4272FEBD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C4133A" w:rsidRPr="008B4FE6" w14:paraId="0042DD93" w14:textId="77777777" w:rsidTr="00C4133A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16BC106" w14:textId="77777777" w:rsidR="00C4133A" w:rsidRPr="00C53F26" w:rsidRDefault="00C4133A" w:rsidP="00C413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DD8EF60" w14:textId="50A35E7E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6641ACE" w14:textId="266CECB4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9651E04" w14:textId="3BC18291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73D3660" w14:textId="09BAD1F7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25BE02F" w14:textId="5F15A9AD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9B446B5" w14:textId="5D1B2D7C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4099394" w14:textId="76ACCD81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E6F5820" w14:textId="5E54B770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094A8C8" w14:textId="730E1AFA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21BBC61" w14:textId="7F2DDA1C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D167FCB" w14:textId="1D155697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6331958B" w14:textId="56A7A06B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63015" w:rsidRPr="008B4FE6" w14:paraId="5EA222DA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03B0F58" w14:textId="77777777" w:rsidR="00F63015" w:rsidRPr="00C53F2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33915EB" w14:textId="77777777" w:rsidR="00F63015" w:rsidRDefault="00F63015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Projektowana zmiana nie będzie miała wpływu na budżet państwa i budżety jednostek samorządu terytorialnego.</w:t>
            </w:r>
          </w:p>
          <w:p w14:paraId="200AD3EE" w14:textId="13041B0E" w:rsidR="00F63015" w:rsidRDefault="00F63015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4EA5">
              <w:rPr>
                <w:rFonts w:ascii="Times New Roman" w:hAnsi="Times New Roman"/>
                <w:color w:val="000000"/>
              </w:rPr>
              <w:t xml:space="preserve">Wygospodarowanie środków w ramach </w:t>
            </w:r>
            <w:r>
              <w:rPr>
                <w:rFonts w:ascii="Times New Roman" w:hAnsi="Times New Roman"/>
                <w:color w:val="000000"/>
              </w:rPr>
              <w:t xml:space="preserve">planu finansowego NFZ </w:t>
            </w:r>
            <w:r w:rsidRPr="00C84EA5">
              <w:rPr>
                <w:rFonts w:ascii="Times New Roman" w:hAnsi="Times New Roman"/>
                <w:color w:val="000000"/>
              </w:rPr>
              <w:t>nastąpi przez zmianę alokacji środków przeznaczonych na finansowanie świadczeń gwarantowanych</w:t>
            </w:r>
            <w:r>
              <w:rPr>
                <w:rFonts w:ascii="Times New Roman" w:hAnsi="Times New Roman"/>
                <w:color w:val="000000"/>
              </w:rPr>
              <w:t xml:space="preserve"> określonych w planie finansowym NFZ na 2022 r. i kolejne lata.</w:t>
            </w:r>
          </w:p>
          <w:p w14:paraId="5A711917" w14:textId="77777777" w:rsidR="00F63015" w:rsidRDefault="00F63015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Należy także wskazać, iż świadczenia gwarantowane w ramach kompleksowej opieki onkologicznej </w:t>
            </w:r>
            <w:r w:rsidRPr="00C84354">
              <w:rPr>
                <w:rFonts w:ascii="Times New Roman" w:hAnsi="Times New Roman"/>
                <w:color w:val="000000"/>
              </w:rPr>
              <w:t xml:space="preserve">nad </w:t>
            </w:r>
            <w:r>
              <w:rPr>
                <w:rFonts w:ascii="Times New Roman" w:hAnsi="Times New Roman"/>
                <w:color w:val="000000"/>
              </w:rPr>
              <w:t>świadczeniobiorcą</w:t>
            </w:r>
            <w:r w:rsidRPr="00C84354">
              <w:rPr>
                <w:rFonts w:ascii="Times New Roman" w:hAnsi="Times New Roman"/>
                <w:color w:val="000000"/>
              </w:rPr>
              <w:t xml:space="preserve"> z nowotworem piersi</w:t>
            </w:r>
            <w:r>
              <w:rPr>
                <w:rFonts w:ascii="Times New Roman" w:hAnsi="Times New Roman"/>
                <w:color w:val="000000"/>
              </w:rPr>
              <w:t xml:space="preserve"> w dominującej części będą realizowane w szpitalach zakwalifikowanych do systemu podstawowego zabezpieczenia szpitalnego. Wskazać także należy, że podział środków finansowych pozostaje w kompetencjach NFZ. Świadczenia te są realizowane w różnych zakresach świadczeń gwarantowanych. </w:t>
            </w:r>
          </w:p>
          <w:p w14:paraId="4B92ED30" w14:textId="7C9834E4" w:rsidR="00F63015" w:rsidRPr="00B37C80" w:rsidRDefault="00F63015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Projektowane przepisy nie wpłyną na konieczność zwiększania kosztów administracyjnych </w:t>
            </w:r>
            <w:r>
              <w:rPr>
                <w:rFonts w:ascii="Times New Roman" w:hAnsi="Times New Roman"/>
                <w:color w:val="000000"/>
              </w:rPr>
              <w:br/>
              <w:t>związanych z przyjmowaniem i weryfikowaniem dokumentów potwierdzających spełnianie przez świadczeniodawców warunków realizacji świadczeń, określonych w planie finansowym na 2022 r. oraz lata kolejne.</w:t>
            </w:r>
          </w:p>
        </w:tc>
      </w:tr>
      <w:tr w:rsidR="00F63015" w:rsidRPr="008B4FE6" w14:paraId="16231642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0D1FEBED" w14:textId="77777777" w:rsidR="00F63015" w:rsidRPr="00C53F2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74FD0DE9" w14:textId="69E7FE1F" w:rsidR="00C4133A" w:rsidRDefault="00C4133A" w:rsidP="00C4133A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70E67">
              <w:rPr>
                <w:rFonts w:ascii="Times New Roman" w:hAnsi="Times New Roman"/>
                <w:lang w:eastAsia="pl-PL"/>
              </w:rPr>
              <w:t>Wyniki szczegółowej analizy danych</w:t>
            </w:r>
            <w:r>
              <w:rPr>
                <w:rFonts w:ascii="Times New Roman" w:hAnsi="Times New Roman"/>
                <w:lang w:eastAsia="pl-PL"/>
              </w:rPr>
              <w:t xml:space="preserve"> dotyczących liczby świadczeniodawców, którzy spełniają warunki formalne dla Centrum </w:t>
            </w:r>
            <w:r w:rsidR="00B32769">
              <w:rPr>
                <w:rFonts w:ascii="Times New Roman" w:hAnsi="Times New Roman"/>
                <w:lang w:eastAsia="pl-PL"/>
              </w:rPr>
              <w:t>k</w:t>
            </w:r>
            <w:r>
              <w:rPr>
                <w:rFonts w:ascii="Times New Roman" w:hAnsi="Times New Roman"/>
                <w:lang w:eastAsia="pl-PL"/>
              </w:rPr>
              <w:t xml:space="preserve">ompetencji </w:t>
            </w:r>
            <w:r w:rsidR="00B32769">
              <w:rPr>
                <w:rFonts w:ascii="Times New Roman" w:hAnsi="Times New Roman"/>
                <w:lang w:eastAsia="pl-PL"/>
              </w:rPr>
              <w:t>r</w:t>
            </w:r>
            <w:r>
              <w:rPr>
                <w:rFonts w:ascii="Times New Roman" w:hAnsi="Times New Roman"/>
                <w:lang w:eastAsia="pl-PL"/>
              </w:rPr>
              <w:t xml:space="preserve">aka </w:t>
            </w:r>
            <w:r w:rsidR="00B32769">
              <w:rPr>
                <w:rFonts w:ascii="Times New Roman" w:hAnsi="Times New Roman"/>
                <w:lang w:eastAsia="pl-PL"/>
              </w:rPr>
              <w:t>p</w:t>
            </w:r>
            <w:r>
              <w:rPr>
                <w:rFonts w:ascii="Times New Roman" w:hAnsi="Times New Roman"/>
                <w:lang w:eastAsia="pl-PL"/>
              </w:rPr>
              <w:t>iersi oparte zostały o dane:</w:t>
            </w:r>
          </w:p>
          <w:p w14:paraId="2B0B89EC" w14:textId="77777777" w:rsidR="00C4133A" w:rsidRDefault="00C4133A" w:rsidP="00C4133A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157873">
              <w:rPr>
                <w:rFonts w:ascii="Times New Roman" w:hAnsi="Times New Roman"/>
                <w:lang w:eastAsia="pl-PL"/>
              </w:rPr>
              <w:t xml:space="preserve">sprawozdawcze NFZ za 2020 r. </w:t>
            </w:r>
            <w:r>
              <w:rPr>
                <w:rFonts w:ascii="Times New Roman" w:hAnsi="Times New Roman"/>
                <w:lang w:eastAsia="pl-PL"/>
              </w:rPr>
              <w:t>oraz</w:t>
            </w:r>
          </w:p>
          <w:p w14:paraId="74B6FA53" w14:textId="77777777" w:rsidR="00C4133A" w:rsidRDefault="00C4133A" w:rsidP="00C4133A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157873">
              <w:rPr>
                <w:rFonts w:ascii="Times New Roman" w:hAnsi="Times New Roman"/>
                <w:lang w:eastAsia="pl-PL"/>
              </w:rPr>
              <w:t xml:space="preserve">zawarte </w:t>
            </w:r>
            <w:r>
              <w:rPr>
                <w:rFonts w:ascii="Times New Roman" w:hAnsi="Times New Roman"/>
                <w:lang w:eastAsia="pl-PL"/>
              </w:rPr>
              <w:t>w</w:t>
            </w:r>
            <w:r w:rsidRPr="00157873">
              <w:rPr>
                <w:rFonts w:ascii="Times New Roman" w:hAnsi="Times New Roman"/>
                <w:lang w:eastAsia="pl-PL"/>
              </w:rPr>
              <w:t xml:space="preserve"> rejestrach podmiotów wykonujących działalność leczniczą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A117F8">
              <w:rPr>
                <w:rFonts w:ascii="Times New Roman" w:hAnsi="Times New Roman"/>
                <w:lang w:eastAsia="pl-PL"/>
              </w:rPr>
              <w:t>w zakresie posiadania przez te podmioty jednostek patomorfologicznych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  <w:p w14:paraId="2AAE28F5" w14:textId="0AC44C12" w:rsidR="00C4133A" w:rsidRPr="00B93A9F" w:rsidRDefault="00C4133A" w:rsidP="00C4133A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157873">
              <w:rPr>
                <w:rFonts w:ascii="Times New Roman" w:hAnsi="Times New Roman"/>
                <w:lang w:eastAsia="pl-PL"/>
              </w:rPr>
              <w:t xml:space="preserve">Biorąc pod uwagę ww. założenia liczba świadczeniodawców spełniająca warunki formalne dla Centrum </w:t>
            </w:r>
            <w:r w:rsidR="00B32769">
              <w:rPr>
                <w:rFonts w:ascii="Times New Roman" w:hAnsi="Times New Roman"/>
                <w:lang w:eastAsia="pl-PL"/>
              </w:rPr>
              <w:t>k</w:t>
            </w:r>
            <w:r w:rsidRPr="00157873">
              <w:rPr>
                <w:rFonts w:ascii="Times New Roman" w:hAnsi="Times New Roman"/>
                <w:lang w:eastAsia="pl-PL"/>
              </w:rPr>
              <w:t xml:space="preserve">ompetencji </w:t>
            </w:r>
            <w:r w:rsidR="00B32769">
              <w:rPr>
                <w:rFonts w:ascii="Times New Roman" w:hAnsi="Times New Roman"/>
                <w:lang w:eastAsia="pl-PL"/>
              </w:rPr>
              <w:t>r</w:t>
            </w:r>
            <w:r w:rsidRPr="00157873">
              <w:rPr>
                <w:rFonts w:ascii="Times New Roman" w:hAnsi="Times New Roman"/>
                <w:lang w:eastAsia="pl-PL"/>
              </w:rPr>
              <w:t xml:space="preserve">aka </w:t>
            </w:r>
            <w:r w:rsidR="00B32769">
              <w:rPr>
                <w:rFonts w:ascii="Times New Roman" w:hAnsi="Times New Roman"/>
                <w:lang w:eastAsia="pl-PL"/>
              </w:rPr>
              <w:t>p</w:t>
            </w:r>
            <w:r w:rsidRPr="00157873">
              <w:rPr>
                <w:rFonts w:ascii="Times New Roman" w:hAnsi="Times New Roman"/>
                <w:lang w:eastAsia="pl-PL"/>
              </w:rPr>
              <w:t xml:space="preserve">iersi wyniosła 60 w całym kraju. Mając na uwadze pozostałe warunki określone </w:t>
            </w:r>
            <w:r>
              <w:rPr>
                <w:rFonts w:ascii="Times New Roman" w:hAnsi="Times New Roman"/>
                <w:lang w:eastAsia="pl-PL"/>
              </w:rPr>
              <w:t xml:space="preserve">dla Centrum </w:t>
            </w:r>
            <w:r w:rsidR="00B32769">
              <w:rPr>
                <w:rFonts w:ascii="Times New Roman" w:hAnsi="Times New Roman"/>
                <w:lang w:eastAsia="pl-PL"/>
              </w:rPr>
              <w:t>k</w:t>
            </w:r>
            <w:r>
              <w:rPr>
                <w:rFonts w:ascii="Times New Roman" w:hAnsi="Times New Roman"/>
                <w:lang w:eastAsia="pl-PL"/>
              </w:rPr>
              <w:t xml:space="preserve">ompetencji </w:t>
            </w:r>
            <w:r w:rsidR="00B32769">
              <w:rPr>
                <w:rFonts w:ascii="Times New Roman" w:hAnsi="Times New Roman"/>
                <w:lang w:eastAsia="pl-PL"/>
              </w:rPr>
              <w:t>r</w:t>
            </w:r>
            <w:r>
              <w:rPr>
                <w:rFonts w:ascii="Times New Roman" w:hAnsi="Times New Roman"/>
                <w:lang w:eastAsia="pl-PL"/>
              </w:rPr>
              <w:t xml:space="preserve">aka </w:t>
            </w:r>
            <w:r w:rsidR="00B32769">
              <w:rPr>
                <w:rFonts w:ascii="Times New Roman" w:hAnsi="Times New Roman"/>
                <w:lang w:eastAsia="pl-PL"/>
              </w:rPr>
              <w:t>p</w:t>
            </w:r>
            <w:r>
              <w:rPr>
                <w:rFonts w:ascii="Times New Roman" w:hAnsi="Times New Roman"/>
                <w:lang w:eastAsia="pl-PL"/>
              </w:rPr>
              <w:t xml:space="preserve">iersi </w:t>
            </w:r>
            <w:r w:rsidRPr="00B93A9F">
              <w:rPr>
                <w:rFonts w:ascii="Times New Roman" w:hAnsi="Times New Roman"/>
                <w:lang w:eastAsia="pl-PL"/>
              </w:rPr>
              <w:t xml:space="preserve">(np. dla personelu </w:t>
            </w:r>
            <w:r w:rsidRPr="00B93A9F">
              <w:rPr>
                <w:rFonts w:ascii="Times New Roman" w:hAnsi="Times New Roman"/>
                <w:shd w:val="clear" w:color="auto" w:fill="FFFFFF"/>
              </w:rPr>
              <w:t>–</w:t>
            </w:r>
            <w:r w:rsidRPr="00B93A9F">
              <w:rPr>
                <w:rFonts w:ascii="Times New Roman" w:hAnsi="Times New Roman"/>
                <w:lang w:eastAsia="pl-PL"/>
              </w:rPr>
              <w:t xml:space="preserve"> minimalne kryteria związane z doświadczeniem), zaznaczyć należy, że ostateczna liczba świadczeniodawców spełniających wszystkie warunki może być mniejsza. Natomiast ze względu na przepisy dostosowawcze w rozporządzeniu oraz zmiany i sytuacje indywidualne występujące u świadczeniodawców trudno jest ją oszacować.  </w:t>
            </w:r>
          </w:p>
          <w:p w14:paraId="7665FA92" w14:textId="4F889888" w:rsidR="00C4133A" w:rsidRDefault="00C4133A" w:rsidP="00C4133A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Należy jednak wskazać, że wraz ze wzrostem jakości opieki, w tym diagnostyki i profilaktyki, zmieni się struktura i liczba zachorowań. Oczekiwanym efektem jest </w:t>
            </w:r>
            <w:r w:rsidR="007A1F24">
              <w:rPr>
                <w:rFonts w:ascii="Times New Roman" w:hAnsi="Times New Roman"/>
                <w:lang w:eastAsia="pl-PL"/>
              </w:rPr>
              <w:t xml:space="preserve">m.in. </w:t>
            </w:r>
            <w:r>
              <w:rPr>
                <w:rFonts w:ascii="Times New Roman" w:hAnsi="Times New Roman"/>
                <w:lang w:eastAsia="pl-PL"/>
              </w:rPr>
              <w:t>zwiększenie wykrywalności nowotworów we wczesnych stadiach, ponieważ wyższa jakość opieki będzie skutkować wydłużeniem życia w każdym stadium zaawansowania choroby</w:t>
            </w:r>
            <w:r w:rsidR="00B46CCE">
              <w:rPr>
                <w:rFonts w:ascii="Times New Roman" w:hAnsi="Times New Roman"/>
                <w:lang w:eastAsia="pl-PL"/>
              </w:rPr>
              <w:t>,</w:t>
            </w:r>
            <w:r>
              <w:rPr>
                <w:rFonts w:ascii="Times New Roman" w:hAnsi="Times New Roman"/>
                <w:lang w:eastAsia="pl-PL"/>
              </w:rPr>
              <w:t xml:space="preserve"> a</w:t>
            </w:r>
            <w:r w:rsidR="00B46CCE">
              <w:rPr>
                <w:rFonts w:ascii="Times New Roman" w:hAnsi="Times New Roman"/>
                <w:lang w:eastAsia="pl-PL"/>
              </w:rPr>
              <w:t xml:space="preserve"> nadto</w:t>
            </w:r>
            <w:r>
              <w:rPr>
                <w:rFonts w:ascii="Times New Roman" w:hAnsi="Times New Roman"/>
                <w:lang w:eastAsia="pl-PL"/>
              </w:rPr>
              <w:t xml:space="preserve"> wydłużeniu ulegnie czas między przejściem z niższego stadium zaawansowania choroby do wyższego. </w:t>
            </w:r>
          </w:p>
          <w:p w14:paraId="15AFD8F6" w14:textId="1B5ADBD8" w:rsidR="00F63015" w:rsidRPr="00C53F26" w:rsidRDefault="00C4133A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lang w:eastAsia="pl-PL"/>
              </w:rPr>
              <w:t>W konsekwencji powyższych zjawisk liczba ośrodków realizujących opiekę w kolejnych latach może się zmieniać do momentu ustalenia optymalnej liczby ośrodków, przy której będzie zapewniona adekwatna dostępność oraz wysoka jakość opieki nad świadczeniobiorcą z nowotworem piersi.</w:t>
            </w:r>
          </w:p>
        </w:tc>
      </w:tr>
      <w:tr w:rsidR="00F63015" w:rsidRPr="008B4FE6" w14:paraId="014200E7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5B19A0FD" w14:textId="77777777" w:rsidR="00F63015" w:rsidRPr="008B4FE6" w:rsidRDefault="00F63015" w:rsidP="00F63015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F63015" w:rsidRPr="008B4FE6" w14:paraId="34F4061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C293C1D" w14:textId="77777777" w:rsidR="00F63015" w:rsidRPr="00301959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F63015" w:rsidRPr="008B4FE6" w14:paraId="69A58F79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09A98B2" w14:textId="77777777" w:rsidR="00F63015" w:rsidRPr="00301959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5E08D34" w14:textId="77777777" w:rsidR="00F63015" w:rsidRPr="00301959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295C1A1" w14:textId="77777777" w:rsidR="00F63015" w:rsidRPr="00301959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632311B" w14:textId="77777777" w:rsidR="00F63015" w:rsidRPr="00301959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E9296B2" w14:textId="77777777" w:rsidR="00F63015" w:rsidRPr="00301959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8AC2C38" w14:textId="77777777" w:rsidR="00F63015" w:rsidRPr="00301959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0291611" w14:textId="77777777" w:rsidR="00F63015" w:rsidRPr="00301959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53406D15" w14:textId="77777777" w:rsidR="00F63015" w:rsidRPr="001B3460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F63015" w:rsidRPr="008B4FE6" w14:paraId="31B149E8" w14:textId="77777777" w:rsidTr="00C4133A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F7E14CA" w14:textId="77777777" w:rsidR="00F63015" w:rsidRDefault="00F63015" w:rsidP="00F6301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72F03836" w14:textId="77777777" w:rsidR="00F63015" w:rsidRDefault="00F63015" w:rsidP="00F63015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4A95D9E" w14:textId="77777777" w:rsidR="00F63015" w:rsidRPr="00301959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0791C62" w14:textId="77777777" w:rsidR="00F63015" w:rsidRPr="00301959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7142DF53" w14:textId="77C2003C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2D7E5995" w14:textId="688FF60E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33F684B" w14:textId="75DF6574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1290E3CF" w14:textId="16440256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5B803884" w14:textId="4A1A65FF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61050242" w14:textId="71C7CFC9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183483CF" w14:textId="197B3E4B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63015" w:rsidRPr="008B4FE6" w14:paraId="3C446A52" w14:textId="77777777" w:rsidTr="00C4133A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96D1B79" w14:textId="77777777" w:rsidR="00F63015" w:rsidRPr="00301959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9C3FB1F" w14:textId="77777777" w:rsidR="00F63015" w:rsidRPr="00301959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1E85D25E" w14:textId="641FF9A2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0EE42E87" w14:textId="39B895B1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2D9A45E" w14:textId="419A1D78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5283943F" w14:textId="793000C2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1CDB1685" w14:textId="6A1D1809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1BFBB9CB" w14:textId="3B634364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2313738B" w14:textId="281188DB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63015" w:rsidRPr="008B4FE6" w14:paraId="2ADF82AC" w14:textId="77777777" w:rsidTr="00C4133A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7AFA8ED" w14:textId="77777777" w:rsidR="00F63015" w:rsidRPr="00301959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8F05D79" w14:textId="77777777" w:rsidR="00F63015" w:rsidRPr="00301959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583EA879" w14:textId="2D064208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76D208AA" w14:textId="795378F8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72A3525F" w14:textId="50695C56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7E9C0703" w14:textId="75081D9D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42C5EBB6" w14:textId="53651016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DF07511" w14:textId="4466EB72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4CC7DFBF" w14:textId="43BC0995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63015" w:rsidRPr="008B4FE6" w14:paraId="414E760F" w14:textId="77777777" w:rsidTr="00C4133A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BA4C39E" w14:textId="77777777" w:rsidR="00F63015" w:rsidRPr="00301959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AF17B02" w14:textId="77777777" w:rsidR="00F63015" w:rsidRPr="00301959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7D08EA2B" w14:textId="67E3E648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5A0C69C8" w14:textId="1254C1D9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94308BB" w14:textId="589D7022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0BB2B711" w14:textId="2AE39B13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225C570" w14:textId="78C0EFC1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5E1457B7" w14:textId="1CBAC6BC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4D75F540" w14:textId="1FC872AC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63015" w:rsidRPr="008B4FE6" w14:paraId="56F90AD9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A14072B" w14:textId="77777777" w:rsidR="00F63015" w:rsidRPr="00301959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D640823" w14:textId="77777777" w:rsidR="00F63015" w:rsidRPr="00301959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19908F2" w14:textId="7951876B" w:rsidR="00F63015" w:rsidRPr="00B37C80" w:rsidRDefault="00C4133A" w:rsidP="00CD1A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>Przedmiotowa zmiana wpły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nie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pozytywnie 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na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działalność 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podmiotów realizujących świadczenia gwarantowane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z zakresu diagnostyki, leczenia lub rehabilitacji świadczeniobiorców z nowotworem piersi 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względem podmiotów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lastRenderedPageBreak/>
              <w:t>realizujących ww. świadczenia w sektorze poza finansowaniem świadczeń ze środków publicznych. Przedmiotowa zmiana wyznacza standard i jakość opieki, do którego będą obowiązani świadczeniodawcy realizujący świadczenie kompleksowej opieki nad świadczeniobiorcą z nowotworem piersi.</w:t>
            </w:r>
          </w:p>
        </w:tc>
      </w:tr>
      <w:tr w:rsidR="00F63015" w:rsidRPr="008B4FE6" w14:paraId="464BDD5B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B2205FE" w14:textId="77777777" w:rsidR="00F63015" w:rsidRPr="00301959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34CAEF9" w14:textId="77777777" w:rsidR="00F63015" w:rsidRPr="00301959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1CAFE48" w14:textId="46506D8D" w:rsidR="00C4133A" w:rsidRDefault="00C4133A" w:rsidP="00ED4F3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Przedmiotowa zmiana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wprowadza możliwość nawiązania współpracy przez mikro-, małe i średnie przedsiębiorstwa 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>realizując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e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świadczenia gwarantowane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diagnostyki, leczenia lub rehabilitacji świadczeniobiorcy z nowotworem piersi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br/>
              <w:t>z innymi świadczeniodawcami w celu zapewnienia kompleksowości opieki nad świadczeniobiorcami.</w:t>
            </w:r>
          </w:p>
          <w:p w14:paraId="3FE16E28" w14:textId="3389BCF7" w:rsidR="00F63015" w:rsidRPr="00B37C80" w:rsidRDefault="00C4133A" w:rsidP="00CD1A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Przedmiotowa zmiana wyznacza standard i jakość opieki, do którego zobowiązani będą świadczeniodawcy realizujący lub współrealizujący świadczenie kompleksowej opieki nad świadczeniobiorcą z nowotworem piersi, </w:t>
            </w:r>
            <w:r w:rsidRPr="00E37C2C">
              <w:rPr>
                <w:rFonts w:ascii="Times New Roman" w:hAnsi="Times New Roman"/>
              </w:rPr>
              <w:t>co może przyczynić się do rozszerzenia działalności oraz stałego podnoszenia kwalifikacji a także wymiany doświadczeń.</w:t>
            </w:r>
          </w:p>
        </w:tc>
      </w:tr>
      <w:tr w:rsidR="00F63015" w:rsidRPr="008B4FE6" w14:paraId="1548450F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6777CA51" w14:textId="77777777" w:rsidR="00F63015" w:rsidRPr="00301959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9997298" w14:textId="77777777" w:rsidR="00F63015" w:rsidRPr="00301959" w:rsidRDefault="00F63015" w:rsidP="00F63015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229198A" w14:textId="77777777" w:rsidR="00C4133A" w:rsidRDefault="00C4133A" w:rsidP="00ED4F3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Przedmiotowa regulacja bardzo szczegółowo określa okoliczności w jakich obywatel nabywa uprawnienie do skorzystania ze świadczenia kompleksowej opieki nad świadczeniobiorcą z nowotworem piersi. Ponadto określa szczegółowo standard i zakres udzielanych świadczeń.</w:t>
            </w:r>
          </w:p>
          <w:p w14:paraId="3DC5994D" w14:textId="77777777" w:rsidR="00C4133A" w:rsidRDefault="00C4133A" w:rsidP="00CD1A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Istotnym elementem opisanych świadczeń jest gwarancja ciągłości realizacji świadczeń.</w:t>
            </w:r>
          </w:p>
          <w:p w14:paraId="0ECE2403" w14:textId="6096F477" w:rsidR="00F63015" w:rsidRPr="00B37C80" w:rsidRDefault="00C4133A" w:rsidP="00CD1A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Przedmiotowa regulacja będzie miała wpływ</w:t>
            </w:r>
            <w:r w:rsidRPr="00F21FAE">
              <w:rPr>
                <w:rFonts w:ascii="Times New Roman" w:hAnsi="Times New Roman"/>
                <w:color w:val="000000"/>
                <w:spacing w:val="-2"/>
              </w:rPr>
              <w:t xml:space="preserve"> na rodzinę, obywateli oraz gospodarstwa domowe, w zakresie dostępności do świadczeń gwarantowanych </w:t>
            </w:r>
            <w:r>
              <w:rPr>
                <w:rFonts w:ascii="Times New Roman" w:hAnsi="Times New Roman"/>
                <w:color w:val="000000"/>
                <w:spacing w:val="-2"/>
              </w:rPr>
              <w:t>i ich jakości.</w:t>
            </w:r>
            <w:r w:rsidRPr="00F21FA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Oczekiwanym zjawiskiem jest zastępowanie realizacji nieskoordynowanych świadczeń opieki zdrowotnej o niskiej jakości, świadczeniami wysokiej jakości skoordynowanymi i realizowanymi w ciągłości. Dostarczenie obywatelom szczegółowej informacji o świadczeniach opieki zdrowotnej, nałożenie na świadczeniodawców obowiązku zapewnienia ciągłości opieki oraz określonej jakości tej opieki ma na celu zapewnienie komfortu i poprawy jakości życia w przypadku wystąpienia nowotworu piersi, ale też zwiększenie szans na uzyskanie jak najlepszego efektu zdrowotnego wskutek zastosowanego leczenia oraz zagwarantowanej opieki kompleksowej.</w:t>
            </w:r>
          </w:p>
        </w:tc>
      </w:tr>
      <w:tr w:rsidR="00F63015" w:rsidRPr="008B4FE6" w14:paraId="62723DBC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108E0C3F" w14:textId="77777777" w:rsidR="00F63015" w:rsidRPr="00301959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4787E6A" w14:textId="77777777" w:rsidR="00F63015" w:rsidRPr="00301959" w:rsidRDefault="00F63015" w:rsidP="00F63015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FD5EC2">
              <w:rPr>
                <w:rFonts w:ascii="Times New Roman" w:hAnsi="Times New Roman"/>
                <w:sz w:val="21"/>
                <w:szCs w:val="21"/>
              </w:rPr>
              <w:t xml:space="preserve">osoby starsze </w:t>
            </w:r>
            <w:r w:rsidRPr="00FD5EC2">
              <w:rPr>
                <w:rFonts w:ascii="Times New Roman" w:hAnsi="Times New Roman"/>
                <w:sz w:val="21"/>
                <w:szCs w:val="21"/>
              </w:rPr>
              <w:br/>
              <w:t>i niepełnosprawne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D9684D3" w14:textId="2E0DE4FF" w:rsidR="00F63015" w:rsidRPr="00B37C80" w:rsidRDefault="00C4133A" w:rsidP="00CD1A3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ED4F36">
              <w:rPr>
                <w:rFonts w:ascii="Times New Roman" w:hAnsi="Times New Roman"/>
                <w:color w:val="000000"/>
                <w:spacing w:val="-2"/>
              </w:rPr>
              <w:t>Przedmiotowa regulacja będzie zapewniać osobom niepełnosprawnym i osobom starszym, na zasadach identycznych jak</w:t>
            </w:r>
            <w:r w:rsidRPr="00CD1A3A">
              <w:rPr>
                <w:rFonts w:ascii="Times New Roman" w:hAnsi="Times New Roman"/>
                <w:color w:val="000000"/>
                <w:spacing w:val="-2"/>
              </w:rPr>
              <w:t xml:space="preserve"> dla innych obywateli dostęp do świadczenia kompleksowego oraz do opieki w ośrodkach diagnostyki i leczenia nowotworów piersi. Podstawą do udzielenia świadczenia opieki zdrowotnej oraz zapewnienia opieki jest rozpoznanie lub podejrzenie nowotworu piersi.</w:t>
            </w:r>
          </w:p>
        </w:tc>
      </w:tr>
      <w:tr w:rsidR="00C4133A" w:rsidRPr="008B4FE6" w14:paraId="00189D51" w14:textId="77777777" w:rsidTr="00C4133A">
        <w:trPr>
          <w:gridAfter w:val="1"/>
          <w:wAfter w:w="10" w:type="dxa"/>
          <w:trHeight w:val="493"/>
        </w:trPr>
        <w:tc>
          <w:tcPr>
            <w:tcW w:w="1596" w:type="dxa"/>
            <w:shd w:val="clear" w:color="auto" w:fill="FFFFFF"/>
            <w:vAlign w:val="center"/>
          </w:tcPr>
          <w:p w14:paraId="53B74025" w14:textId="77777777" w:rsidR="00C4133A" w:rsidRPr="00301959" w:rsidRDefault="00C4133A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3824A608" w14:textId="113F6BCB" w:rsidR="00C4133A" w:rsidRPr="00301959" w:rsidRDefault="00C4133A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  <w:vAlign w:val="center"/>
          </w:tcPr>
          <w:p w14:paraId="71024B88" w14:textId="0A2E24C1" w:rsidR="00C4133A" w:rsidRPr="00B37C80" w:rsidRDefault="00C4133A" w:rsidP="00F630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F63015" w:rsidRPr="008B4FE6" w14:paraId="052D371B" w14:textId="77777777" w:rsidTr="00BC57E0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B3FD503" w14:textId="6AAFBAA4" w:rsidR="00F63015" w:rsidRPr="00301959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55E08B8" w14:textId="77777777" w:rsidR="00F63015" w:rsidRDefault="00F63015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1DCFC1A" w14:textId="77777777" w:rsidR="00BC57E0" w:rsidRDefault="00BC57E0" w:rsidP="00F6301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60B8574A" w14:textId="77777777" w:rsidR="00BC57E0" w:rsidRDefault="00BC57E0" w:rsidP="00F6301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3813FDA" w14:textId="25C06390" w:rsidR="00F63015" w:rsidRPr="00301959" w:rsidRDefault="00C4133A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Nie dotyczy.</w:t>
            </w:r>
          </w:p>
          <w:p w14:paraId="207B7333" w14:textId="77777777" w:rsidR="00F63015" w:rsidRPr="00301959" w:rsidRDefault="00F63015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AFF3FAC" w14:textId="77777777" w:rsidR="00F63015" w:rsidRDefault="00F63015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D3A82A6" w14:textId="77777777" w:rsidR="00F63015" w:rsidRPr="00301959" w:rsidRDefault="00F63015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8B2F9FC" w14:textId="77777777" w:rsidR="00F63015" w:rsidRPr="00301959" w:rsidRDefault="00F63015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63015" w:rsidRPr="008B4FE6" w14:paraId="6671A1E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2A7B258" w14:textId="77777777" w:rsidR="00F63015" w:rsidRPr="008B4FE6" w:rsidRDefault="00F63015" w:rsidP="00F6301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F63015" w:rsidRPr="008B4FE6" w14:paraId="758EB188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305CDCC8" w14:textId="6CC1434E" w:rsidR="00F63015" w:rsidRPr="008B4FE6" w:rsidRDefault="00C4133A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5B35">
              <w:rPr>
                <w:rFonts w:ascii="Times New Roman" w:hAnsi="Times New Roman"/>
                <w:color w:val="000000"/>
              </w:rPr>
            </w:r>
            <w:r w:rsidR="00035B3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F63015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F63015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F63015" w:rsidRPr="008B4FE6" w14:paraId="443117DC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7E3D962E" w14:textId="77777777" w:rsidR="00F63015" w:rsidRDefault="00F63015" w:rsidP="00F63015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BB75295" w14:textId="77777777" w:rsidR="00F63015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5B35">
              <w:rPr>
                <w:rFonts w:ascii="Times New Roman" w:hAnsi="Times New Roman"/>
                <w:color w:val="000000"/>
              </w:rPr>
            </w:r>
            <w:r w:rsidR="00035B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2E7D8F2" w14:textId="77777777" w:rsidR="00F63015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5B35">
              <w:rPr>
                <w:rFonts w:ascii="Times New Roman" w:hAnsi="Times New Roman"/>
                <w:color w:val="000000"/>
              </w:rPr>
            </w:r>
            <w:r w:rsidR="00035B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37AAC4E" w14:textId="362B3FB3" w:rsidR="00F63015" w:rsidRDefault="00C4133A" w:rsidP="00F6301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5B35">
              <w:rPr>
                <w:rFonts w:ascii="Times New Roman" w:hAnsi="Times New Roman"/>
                <w:color w:val="000000"/>
              </w:rPr>
            </w:r>
            <w:r w:rsidR="00035B3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F63015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F63015" w:rsidRPr="008B4FE6" w14:paraId="68CBCE1B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2A6D1F93" w14:textId="77777777" w:rsidR="00F63015" w:rsidRPr="008B4FE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5B35">
              <w:rPr>
                <w:rFonts w:ascii="Times New Roman" w:hAnsi="Times New Roman"/>
                <w:color w:val="000000"/>
              </w:rPr>
            </w:r>
            <w:r w:rsidR="00035B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7611D46" w14:textId="77777777" w:rsidR="00F63015" w:rsidRPr="008B4FE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5B35">
              <w:rPr>
                <w:rFonts w:ascii="Times New Roman" w:hAnsi="Times New Roman"/>
                <w:color w:val="000000"/>
              </w:rPr>
            </w:r>
            <w:r w:rsidR="00035B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3ACDC3A" w14:textId="77777777" w:rsidR="00F63015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5B35">
              <w:rPr>
                <w:rFonts w:ascii="Times New Roman" w:hAnsi="Times New Roman"/>
                <w:color w:val="000000"/>
              </w:rPr>
            </w:r>
            <w:r w:rsidR="00035B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9894FB9" w14:textId="77777777" w:rsidR="00F63015" w:rsidRPr="008B4FE6" w:rsidRDefault="00F63015" w:rsidP="00F63015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5B35">
              <w:rPr>
                <w:rFonts w:ascii="Times New Roman" w:hAnsi="Times New Roman"/>
                <w:color w:val="000000"/>
              </w:rPr>
            </w:r>
            <w:r w:rsidR="00035B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3C43DF4" w14:textId="77777777" w:rsidR="00F63015" w:rsidRPr="008B4FE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5B35">
              <w:rPr>
                <w:rFonts w:ascii="Times New Roman" w:hAnsi="Times New Roman"/>
                <w:color w:val="000000"/>
              </w:rPr>
            </w:r>
            <w:r w:rsidR="00035B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7A8999FF" w14:textId="77777777" w:rsidR="00F63015" w:rsidRPr="008B4FE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5B35">
              <w:rPr>
                <w:rFonts w:ascii="Times New Roman" w:hAnsi="Times New Roman"/>
                <w:color w:val="000000"/>
              </w:rPr>
            </w:r>
            <w:r w:rsidR="00035B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BE5BC1C" w14:textId="77777777" w:rsidR="00F63015" w:rsidRPr="008B4FE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5B35">
              <w:rPr>
                <w:rFonts w:ascii="Times New Roman" w:hAnsi="Times New Roman"/>
                <w:color w:val="000000"/>
              </w:rPr>
            </w:r>
            <w:r w:rsidR="00035B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76E2404" w14:textId="77777777" w:rsidR="00F63015" w:rsidRPr="008B4FE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5B35">
              <w:rPr>
                <w:rFonts w:ascii="Times New Roman" w:hAnsi="Times New Roman"/>
                <w:color w:val="000000"/>
              </w:rPr>
            </w:r>
            <w:r w:rsidR="00035B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27685684" w14:textId="77777777" w:rsidR="00F63015" w:rsidRPr="008B4FE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63015" w:rsidRPr="008B4FE6" w14:paraId="2232FED3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6DAEDEF0" w14:textId="77777777" w:rsidR="00F63015" w:rsidRPr="008B4FE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8AB8410" w14:textId="77777777" w:rsidR="00F63015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5B35">
              <w:rPr>
                <w:rFonts w:ascii="Times New Roman" w:hAnsi="Times New Roman"/>
                <w:color w:val="000000"/>
              </w:rPr>
            </w:r>
            <w:r w:rsidR="00035B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6F642CA" w14:textId="77777777" w:rsidR="00F63015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5B35">
              <w:rPr>
                <w:rFonts w:ascii="Times New Roman" w:hAnsi="Times New Roman"/>
                <w:color w:val="000000"/>
              </w:rPr>
            </w:r>
            <w:r w:rsidR="00035B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06D0538" w14:textId="38D62911" w:rsidR="00F63015" w:rsidRDefault="00B26BD2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5B35">
              <w:rPr>
                <w:rFonts w:ascii="Times New Roman" w:hAnsi="Times New Roman"/>
                <w:color w:val="000000"/>
              </w:rPr>
            </w:r>
            <w:r w:rsidR="00035B3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F63015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716DF3E8" w14:textId="77777777" w:rsidR="00F63015" w:rsidRPr="008B4FE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63015" w:rsidRPr="008B4FE6" w14:paraId="10614CEC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7E940A6F" w14:textId="5DC8FE73" w:rsidR="00F63015" w:rsidRPr="008B4FE6" w:rsidRDefault="00F63015" w:rsidP="00B26BD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Komentarz:</w:t>
            </w:r>
            <w:r w:rsidR="00B26BD2" w:rsidRPr="00442C01">
              <w:rPr>
                <w:rFonts w:ascii="Times New Roman" w:hAnsi="Times New Roman"/>
                <w:color w:val="000000"/>
              </w:rPr>
              <w:t xml:space="preserve"> Brak</w:t>
            </w:r>
          </w:p>
        </w:tc>
      </w:tr>
      <w:tr w:rsidR="00F63015" w:rsidRPr="008B4FE6" w14:paraId="0455398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FD0B24D" w14:textId="77777777" w:rsidR="00F63015" w:rsidRPr="008B4FE6" w:rsidRDefault="00F63015" w:rsidP="00F63015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F63015" w:rsidRPr="008B4FE6" w14:paraId="7D78816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7C28BC2" w14:textId="42745314" w:rsidR="00F63015" w:rsidRPr="008B4FE6" w:rsidRDefault="00B26BD2" w:rsidP="00B26BD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Projektowana regulacja będzie miała </w:t>
            </w:r>
            <w:r w:rsidRPr="006E193A">
              <w:rPr>
                <w:rFonts w:ascii="Times New Roman" w:hAnsi="Times New Roman"/>
              </w:rPr>
              <w:t>wpływ na rynek pracy</w:t>
            </w:r>
            <w:r>
              <w:rPr>
                <w:rFonts w:ascii="Times New Roman" w:hAnsi="Times New Roman"/>
              </w:rPr>
              <w:t xml:space="preserve"> przez wpływ na p</w:t>
            </w:r>
            <w:r w:rsidRPr="006E193A">
              <w:rPr>
                <w:rFonts w:ascii="Times New Roman" w:hAnsi="Times New Roman"/>
              </w:rPr>
              <w:t xml:space="preserve">ersonel realizujący </w:t>
            </w:r>
            <w:r>
              <w:rPr>
                <w:rFonts w:ascii="Times New Roman" w:hAnsi="Times New Roman"/>
              </w:rPr>
              <w:t xml:space="preserve">opiekę w ramach Centrum </w:t>
            </w:r>
            <w:r w:rsidR="00B32769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 xml:space="preserve">ompetencji </w:t>
            </w:r>
            <w:r w:rsidR="00B32769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 xml:space="preserve">aka </w:t>
            </w:r>
            <w:r w:rsidR="00B32769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iersi, który nabywa kompetencje </w:t>
            </w:r>
            <w:r w:rsidRPr="006E193A">
              <w:rPr>
                <w:rFonts w:ascii="Times New Roman" w:hAnsi="Times New Roman"/>
              </w:rPr>
              <w:t xml:space="preserve">w zakresie stosowania metod diagnostycznych i terapeutycznych </w:t>
            </w:r>
            <w:r>
              <w:rPr>
                <w:rFonts w:ascii="Times New Roman" w:hAnsi="Times New Roman"/>
              </w:rPr>
              <w:br/>
            </w:r>
            <w:r w:rsidRPr="006E193A">
              <w:rPr>
                <w:rFonts w:ascii="Times New Roman" w:hAnsi="Times New Roman"/>
              </w:rPr>
              <w:t>w określonym standardzie zapewniającym jakość i efektywność opieki</w:t>
            </w:r>
            <w:r>
              <w:rPr>
                <w:rFonts w:ascii="Times New Roman" w:hAnsi="Times New Roman"/>
              </w:rPr>
              <w:t xml:space="preserve"> przez co staje się bardziej konkurencyjny na rynku pracy.</w:t>
            </w:r>
          </w:p>
        </w:tc>
      </w:tr>
      <w:tr w:rsidR="00F63015" w:rsidRPr="008B4FE6" w14:paraId="7A34620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309CE19" w14:textId="77777777" w:rsidR="00F63015" w:rsidRPr="008B4FE6" w:rsidRDefault="00F63015" w:rsidP="00F63015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F63015" w:rsidRPr="008B4FE6" w14:paraId="7389FF69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6A1BBA6" w14:textId="77777777" w:rsidR="00F63015" w:rsidRPr="008B4FE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5A8BB20" w14:textId="77777777" w:rsidR="00F63015" w:rsidRPr="008B4FE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5B35">
              <w:rPr>
                <w:rFonts w:ascii="Times New Roman" w:hAnsi="Times New Roman"/>
                <w:color w:val="000000"/>
              </w:rPr>
            </w:r>
            <w:r w:rsidR="00035B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751FA312" w14:textId="77777777" w:rsidR="00F63015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5B35">
              <w:rPr>
                <w:rFonts w:ascii="Times New Roman" w:hAnsi="Times New Roman"/>
                <w:color w:val="000000"/>
              </w:rPr>
            </w:r>
            <w:r w:rsidR="00035B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59BFF1AF" w14:textId="77777777" w:rsidR="00F63015" w:rsidRPr="00BF6667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5B35">
              <w:rPr>
                <w:rFonts w:ascii="Times New Roman" w:hAnsi="Times New Roman"/>
                <w:color w:val="000000"/>
              </w:rPr>
            </w:r>
            <w:r w:rsidR="00035B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33A7A210" w14:textId="77777777" w:rsidR="00F63015" w:rsidRPr="008B4FE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1011156" w14:textId="77777777" w:rsidR="00F63015" w:rsidRPr="008B4FE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5B35">
              <w:rPr>
                <w:rFonts w:ascii="Times New Roman" w:hAnsi="Times New Roman"/>
                <w:color w:val="000000"/>
              </w:rPr>
            </w:r>
            <w:r w:rsidR="00035B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102DBB1" w14:textId="77777777" w:rsidR="00F63015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5B35">
              <w:rPr>
                <w:rFonts w:ascii="Times New Roman" w:hAnsi="Times New Roman"/>
                <w:color w:val="000000"/>
              </w:rPr>
            </w:r>
            <w:r w:rsidR="00035B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45B31222" w14:textId="77777777" w:rsidR="00F63015" w:rsidRPr="008B4FE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5B35">
              <w:rPr>
                <w:rFonts w:ascii="Times New Roman" w:hAnsi="Times New Roman"/>
                <w:color w:val="000000"/>
              </w:rPr>
            </w:r>
            <w:r w:rsidR="00035B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01CB6D5C" w14:textId="77777777" w:rsidR="00F63015" w:rsidRPr="008B4FE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42F0F14" w14:textId="77777777" w:rsidR="00F63015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5B35">
              <w:rPr>
                <w:rFonts w:ascii="Times New Roman" w:hAnsi="Times New Roman"/>
                <w:color w:val="000000"/>
              </w:rPr>
            </w:r>
            <w:r w:rsidR="00035B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C6255FF" w14:textId="4553ADF0" w:rsidR="00F63015" w:rsidRPr="008B4FE6" w:rsidRDefault="00B26BD2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5B35">
              <w:rPr>
                <w:rFonts w:ascii="Times New Roman" w:hAnsi="Times New Roman"/>
                <w:color w:val="000000"/>
              </w:rPr>
            </w:r>
            <w:r w:rsidR="00035B3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F63015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63015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F63015" w:rsidRPr="008B4FE6" w14:paraId="21F46564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0184EF1" w14:textId="77777777" w:rsidR="00F63015" w:rsidRPr="008B4FE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4FEC493" w14:textId="77777777" w:rsidR="00B26BD2" w:rsidRDefault="00B26BD2" w:rsidP="00F6301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13703EF" w14:textId="3CC7DEC5" w:rsidR="00F63015" w:rsidRPr="008B4FE6" w:rsidRDefault="00B26BD2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P</w:t>
            </w:r>
            <w:r w:rsidRPr="00C610AD">
              <w:rPr>
                <w:rFonts w:ascii="Times New Roman" w:hAnsi="Times New Roman"/>
              </w:rPr>
              <w:t>opraw</w:t>
            </w:r>
            <w:r>
              <w:rPr>
                <w:rFonts w:ascii="Times New Roman" w:hAnsi="Times New Roman"/>
              </w:rPr>
              <w:t>a</w:t>
            </w:r>
            <w:r w:rsidRPr="00C610AD">
              <w:rPr>
                <w:rFonts w:ascii="Times New Roman" w:hAnsi="Times New Roman"/>
              </w:rPr>
              <w:t xml:space="preserve"> zdrowia i wydłużenie życia świadczeniobiorców z nowotwor</w:t>
            </w:r>
            <w:r>
              <w:rPr>
                <w:rFonts w:ascii="Times New Roman" w:hAnsi="Times New Roman"/>
              </w:rPr>
              <w:t>em piersi</w:t>
            </w:r>
            <w:r w:rsidRPr="00C610AD">
              <w:rPr>
                <w:rFonts w:ascii="Times New Roman" w:hAnsi="Times New Roman"/>
              </w:rPr>
              <w:t>.</w:t>
            </w:r>
          </w:p>
          <w:p w14:paraId="569EB78C" w14:textId="77777777" w:rsidR="00F63015" w:rsidRPr="008B4FE6" w:rsidRDefault="00F63015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F63015" w:rsidRPr="008B4FE6" w14:paraId="07AD76B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7E2824C" w14:textId="77777777" w:rsidR="00F63015" w:rsidRPr="00627221" w:rsidRDefault="00F63015" w:rsidP="00F6301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F63015" w:rsidRPr="008B4FE6" w14:paraId="1D4D74B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BDD2125" w14:textId="15E7CB03" w:rsidR="00F63015" w:rsidRPr="00B37C80" w:rsidRDefault="00B26BD2" w:rsidP="00F6301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424A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Rozporządzenie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wejdzie</w:t>
            </w:r>
            <w:r w:rsidRPr="007424A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życie po upływie 14 dni od dnia ogłoszenia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</w:p>
        </w:tc>
      </w:tr>
      <w:tr w:rsidR="00F63015" w:rsidRPr="008B4FE6" w14:paraId="2C8A806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F835617" w14:textId="77777777" w:rsidR="00F63015" w:rsidRPr="008B4FE6" w:rsidRDefault="00F63015" w:rsidP="00F6301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F63015" w:rsidRPr="008B4FE6" w14:paraId="3DFEE0C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AC2608D" w14:textId="6D6E2FA9" w:rsidR="00F63015" w:rsidRPr="00B37C80" w:rsidRDefault="00B26BD2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57772">
              <w:rPr>
                <w:rFonts w:ascii="Times New Roman" w:hAnsi="Times New Roman"/>
                <w:color w:val="000000"/>
                <w:spacing w:val="-2"/>
              </w:rPr>
              <w:t xml:space="preserve">Dokonanie ewaluacji projektu </w:t>
            </w:r>
            <w:r>
              <w:rPr>
                <w:rFonts w:ascii="Times New Roman" w:hAnsi="Times New Roman"/>
                <w:color w:val="000000"/>
                <w:spacing w:val="-2"/>
              </w:rPr>
              <w:t>nastąpi po upływie</w:t>
            </w:r>
            <w:r w:rsidRPr="00957772">
              <w:rPr>
                <w:rFonts w:ascii="Times New Roman" w:hAnsi="Times New Roman"/>
                <w:color w:val="000000"/>
                <w:spacing w:val="-2"/>
              </w:rPr>
              <w:t xml:space="preserve"> 5 lat od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dnia </w:t>
            </w:r>
            <w:r w:rsidRPr="00957772">
              <w:rPr>
                <w:rFonts w:ascii="Times New Roman" w:hAnsi="Times New Roman"/>
                <w:color w:val="000000"/>
                <w:spacing w:val="-2"/>
              </w:rPr>
              <w:t xml:space="preserve">wejścia w życie przedmiotowego rozporządzenia, gdyż taki </w:t>
            </w:r>
            <w:r w:rsidR="007A7942" w:rsidRPr="00957772">
              <w:rPr>
                <w:rFonts w:ascii="Times New Roman" w:hAnsi="Times New Roman"/>
                <w:color w:val="000000"/>
                <w:spacing w:val="-2"/>
              </w:rPr>
              <w:t>okres</w:t>
            </w:r>
            <w:r w:rsidRPr="00957772">
              <w:rPr>
                <w:rFonts w:ascii="Times New Roman" w:hAnsi="Times New Roman"/>
                <w:color w:val="000000"/>
                <w:spacing w:val="-2"/>
              </w:rPr>
              <w:t xml:space="preserve"> umożliwia zaobserwowanie zmian i wskazanie korzyści wynikających z ich wprowadzenia. Ewaluacja zostanie przeprowadzona w oparciu o dane sprawozdawczo-rozliczeniowe </w:t>
            </w:r>
            <w:r>
              <w:rPr>
                <w:rFonts w:ascii="Times New Roman" w:hAnsi="Times New Roman"/>
                <w:color w:val="000000"/>
                <w:spacing w:val="-2"/>
              </w:rPr>
              <w:t>NFZ</w:t>
            </w:r>
            <w:r w:rsidRPr="00957772">
              <w:rPr>
                <w:rFonts w:ascii="Times New Roman" w:hAnsi="Times New Roman"/>
                <w:color w:val="000000"/>
                <w:spacing w:val="-2"/>
              </w:rPr>
              <w:t xml:space="preserve"> za okres 5 lat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DF539F">
              <w:rPr>
                <w:rFonts w:ascii="Times New Roman" w:hAnsi="Times New Roman"/>
                <w:color w:val="000000"/>
                <w:spacing w:val="-2"/>
              </w:rPr>
              <w:t>w porównaniu do realizacji świadczeń z zakresu leczenia szpitalnego w okresie 5 lat przed wprowadzeniem zmian.</w:t>
            </w:r>
          </w:p>
        </w:tc>
      </w:tr>
      <w:tr w:rsidR="00F63015" w:rsidRPr="008B4FE6" w14:paraId="2880CC2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6013CA7" w14:textId="77777777" w:rsidR="00F63015" w:rsidRPr="008B4FE6" w:rsidRDefault="00F63015" w:rsidP="00F6301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F63015" w:rsidRPr="008B4FE6" w14:paraId="10B2850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CBA433D" w14:textId="522E859F" w:rsidR="00F63015" w:rsidRPr="00B37C80" w:rsidRDefault="00B26BD2" w:rsidP="00B26B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Brak.</w:t>
            </w:r>
          </w:p>
        </w:tc>
      </w:tr>
    </w:tbl>
    <w:p w14:paraId="2BA63FC7" w14:textId="7308F9F1" w:rsidR="007A7942" w:rsidRDefault="00C540BC" w:rsidP="007A7942">
      <w:pPr>
        <w:pStyle w:val="Nagwek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95730FF" w14:textId="51EF84DD" w:rsidR="006176ED" w:rsidRPr="00522D94" w:rsidRDefault="009D0655" w:rsidP="00441787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01E7" w14:textId="77777777" w:rsidR="00AB699B" w:rsidRDefault="00AB699B" w:rsidP="00044739">
      <w:pPr>
        <w:spacing w:line="240" w:lineRule="auto"/>
      </w:pPr>
      <w:r>
        <w:separator/>
      </w:r>
    </w:p>
  </w:endnote>
  <w:endnote w:type="continuationSeparator" w:id="0">
    <w:p w14:paraId="64E3BFAF" w14:textId="77777777" w:rsidR="00AB699B" w:rsidRDefault="00AB699B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B878" w14:textId="77777777" w:rsidR="00AB699B" w:rsidRDefault="00AB699B" w:rsidP="00044739">
      <w:pPr>
        <w:spacing w:line="240" w:lineRule="auto"/>
      </w:pPr>
      <w:r>
        <w:separator/>
      </w:r>
    </w:p>
  </w:footnote>
  <w:footnote w:type="continuationSeparator" w:id="0">
    <w:p w14:paraId="3491D8D7" w14:textId="77777777" w:rsidR="00AB699B" w:rsidRDefault="00AB699B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16375"/>
    <w:multiLevelType w:val="hybridMultilevel"/>
    <w:tmpl w:val="68980F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4E12C21"/>
    <w:multiLevelType w:val="hybridMultilevel"/>
    <w:tmpl w:val="68B67424"/>
    <w:lvl w:ilvl="0" w:tplc="EC48044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15127768">
    <w:abstractNumId w:val="3"/>
  </w:num>
  <w:num w:numId="2" w16cid:durableId="130440313">
    <w:abstractNumId w:val="0"/>
  </w:num>
  <w:num w:numId="3" w16cid:durableId="1065489714">
    <w:abstractNumId w:val="9"/>
  </w:num>
  <w:num w:numId="4" w16cid:durableId="173810900">
    <w:abstractNumId w:val="19"/>
  </w:num>
  <w:num w:numId="5" w16cid:durableId="1503469934">
    <w:abstractNumId w:val="1"/>
  </w:num>
  <w:num w:numId="6" w16cid:durableId="92170214">
    <w:abstractNumId w:val="7"/>
  </w:num>
  <w:num w:numId="7" w16cid:durableId="1858808528">
    <w:abstractNumId w:val="13"/>
  </w:num>
  <w:num w:numId="8" w16cid:durableId="1251885753">
    <w:abstractNumId w:val="4"/>
  </w:num>
  <w:num w:numId="9" w16cid:durableId="1086154280">
    <w:abstractNumId w:val="15"/>
  </w:num>
  <w:num w:numId="10" w16cid:durableId="113645489">
    <w:abstractNumId w:val="11"/>
  </w:num>
  <w:num w:numId="11" w16cid:durableId="959453137">
    <w:abstractNumId w:val="14"/>
  </w:num>
  <w:num w:numId="12" w16cid:durableId="429662652">
    <w:abstractNumId w:val="2"/>
  </w:num>
  <w:num w:numId="13" w16cid:durableId="945893362">
    <w:abstractNumId w:val="10"/>
  </w:num>
  <w:num w:numId="14" w16cid:durableId="1526364111">
    <w:abstractNumId w:val="20"/>
  </w:num>
  <w:num w:numId="15" w16cid:durableId="1870872629">
    <w:abstractNumId w:val="16"/>
  </w:num>
  <w:num w:numId="16" w16cid:durableId="1261063460">
    <w:abstractNumId w:val="18"/>
  </w:num>
  <w:num w:numId="17" w16cid:durableId="1054893244">
    <w:abstractNumId w:val="5"/>
  </w:num>
  <w:num w:numId="18" w16cid:durableId="2046128279">
    <w:abstractNumId w:val="21"/>
  </w:num>
  <w:num w:numId="19" w16cid:durableId="507908230">
    <w:abstractNumId w:val="22"/>
  </w:num>
  <w:num w:numId="20" w16cid:durableId="352611794">
    <w:abstractNumId w:val="17"/>
  </w:num>
  <w:num w:numId="21" w16cid:durableId="1375737834">
    <w:abstractNumId w:val="6"/>
  </w:num>
  <w:num w:numId="22" w16cid:durableId="936979396">
    <w:abstractNumId w:val="12"/>
  </w:num>
  <w:num w:numId="23" w16cid:durableId="6371492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1193"/>
    <w:rsid w:val="000356A9"/>
    <w:rsid w:val="00035B35"/>
    <w:rsid w:val="00044138"/>
    <w:rsid w:val="00044739"/>
    <w:rsid w:val="00051637"/>
    <w:rsid w:val="000523C1"/>
    <w:rsid w:val="00056681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B54FB"/>
    <w:rsid w:val="000B692C"/>
    <w:rsid w:val="000C29B0"/>
    <w:rsid w:val="000C76FC"/>
    <w:rsid w:val="000D38FC"/>
    <w:rsid w:val="000D4D90"/>
    <w:rsid w:val="000E2D10"/>
    <w:rsid w:val="000F3204"/>
    <w:rsid w:val="0010548B"/>
    <w:rsid w:val="001072D1"/>
    <w:rsid w:val="00117017"/>
    <w:rsid w:val="001267F0"/>
    <w:rsid w:val="00130E8E"/>
    <w:rsid w:val="0013216E"/>
    <w:rsid w:val="001401B5"/>
    <w:rsid w:val="001422B9"/>
    <w:rsid w:val="0014665F"/>
    <w:rsid w:val="00153464"/>
    <w:rsid w:val="001541B3"/>
    <w:rsid w:val="00155B15"/>
    <w:rsid w:val="001625BE"/>
    <w:rsid w:val="001632E5"/>
    <w:rsid w:val="001643A4"/>
    <w:rsid w:val="001727BB"/>
    <w:rsid w:val="00180D25"/>
    <w:rsid w:val="0018318D"/>
    <w:rsid w:val="0018572C"/>
    <w:rsid w:val="00187E79"/>
    <w:rsid w:val="00187F0D"/>
    <w:rsid w:val="00192CC5"/>
    <w:rsid w:val="001956A7"/>
    <w:rsid w:val="001971E6"/>
    <w:rsid w:val="001A118A"/>
    <w:rsid w:val="001A27F4"/>
    <w:rsid w:val="001A2D95"/>
    <w:rsid w:val="001B3460"/>
    <w:rsid w:val="001B4CA1"/>
    <w:rsid w:val="001B75D8"/>
    <w:rsid w:val="001C1060"/>
    <w:rsid w:val="001C3C63"/>
    <w:rsid w:val="001D4732"/>
    <w:rsid w:val="001D6A3C"/>
    <w:rsid w:val="001D6D51"/>
    <w:rsid w:val="001E23B7"/>
    <w:rsid w:val="001F653A"/>
    <w:rsid w:val="001F6979"/>
    <w:rsid w:val="00202BC6"/>
    <w:rsid w:val="00205141"/>
    <w:rsid w:val="0020516B"/>
    <w:rsid w:val="00213559"/>
    <w:rsid w:val="00213EFD"/>
    <w:rsid w:val="002172F1"/>
    <w:rsid w:val="0021795D"/>
    <w:rsid w:val="00223C7B"/>
    <w:rsid w:val="00224AB1"/>
    <w:rsid w:val="0022687A"/>
    <w:rsid w:val="00230728"/>
    <w:rsid w:val="00234040"/>
    <w:rsid w:val="00235CD2"/>
    <w:rsid w:val="002523AC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0760"/>
    <w:rsid w:val="00282D72"/>
    <w:rsid w:val="00283402"/>
    <w:rsid w:val="00290FD6"/>
    <w:rsid w:val="002914AF"/>
    <w:rsid w:val="00294259"/>
    <w:rsid w:val="002A2C81"/>
    <w:rsid w:val="002B3D1A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76AC9"/>
    <w:rsid w:val="00393032"/>
    <w:rsid w:val="00394B69"/>
    <w:rsid w:val="00397078"/>
    <w:rsid w:val="003A6953"/>
    <w:rsid w:val="003B6083"/>
    <w:rsid w:val="003C3838"/>
    <w:rsid w:val="003C5847"/>
    <w:rsid w:val="003D0681"/>
    <w:rsid w:val="003D12F6"/>
    <w:rsid w:val="003D1426"/>
    <w:rsid w:val="003E2F4E"/>
    <w:rsid w:val="003E720A"/>
    <w:rsid w:val="00403E6E"/>
    <w:rsid w:val="004129B4"/>
    <w:rsid w:val="00417EF0"/>
    <w:rsid w:val="00422181"/>
    <w:rsid w:val="004244A8"/>
    <w:rsid w:val="00425F72"/>
    <w:rsid w:val="00427736"/>
    <w:rsid w:val="0043651A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64FC"/>
    <w:rsid w:val="004A145E"/>
    <w:rsid w:val="004A1F15"/>
    <w:rsid w:val="004A2A81"/>
    <w:rsid w:val="004A63DF"/>
    <w:rsid w:val="004A7BD7"/>
    <w:rsid w:val="004C15C2"/>
    <w:rsid w:val="004C36D8"/>
    <w:rsid w:val="004C6A0C"/>
    <w:rsid w:val="004D1248"/>
    <w:rsid w:val="004D1E3C"/>
    <w:rsid w:val="004D4169"/>
    <w:rsid w:val="004D6E14"/>
    <w:rsid w:val="004F4E17"/>
    <w:rsid w:val="0050082F"/>
    <w:rsid w:val="00500C56"/>
    <w:rsid w:val="00501713"/>
    <w:rsid w:val="00506568"/>
    <w:rsid w:val="0051551B"/>
    <w:rsid w:val="00520C57"/>
    <w:rsid w:val="00522D94"/>
    <w:rsid w:val="00533D89"/>
    <w:rsid w:val="00536564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64DC"/>
    <w:rsid w:val="006B7A91"/>
    <w:rsid w:val="006D46C4"/>
    <w:rsid w:val="006D4704"/>
    <w:rsid w:val="006D6A2D"/>
    <w:rsid w:val="006E1E18"/>
    <w:rsid w:val="006E31CE"/>
    <w:rsid w:val="006E34D3"/>
    <w:rsid w:val="006F1435"/>
    <w:rsid w:val="006F78C4"/>
    <w:rsid w:val="007024B3"/>
    <w:rsid w:val="00702CE6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52623"/>
    <w:rsid w:val="00760F1F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96460"/>
    <w:rsid w:val="007A1F24"/>
    <w:rsid w:val="007A3BC7"/>
    <w:rsid w:val="007A5AC4"/>
    <w:rsid w:val="007A7942"/>
    <w:rsid w:val="007B0FDD"/>
    <w:rsid w:val="007B4802"/>
    <w:rsid w:val="007B6668"/>
    <w:rsid w:val="007B6B33"/>
    <w:rsid w:val="007C122A"/>
    <w:rsid w:val="007C2701"/>
    <w:rsid w:val="007D2192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575C3"/>
    <w:rsid w:val="00863D28"/>
    <w:rsid w:val="008648C3"/>
    <w:rsid w:val="00880F26"/>
    <w:rsid w:val="008934A9"/>
    <w:rsid w:val="00896C2E"/>
    <w:rsid w:val="008A5095"/>
    <w:rsid w:val="008A608F"/>
    <w:rsid w:val="008B1A9A"/>
    <w:rsid w:val="008B4FE6"/>
    <w:rsid w:val="008B6C37"/>
    <w:rsid w:val="008D5EB1"/>
    <w:rsid w:val="008E18F7"/>
    <w:rsid w:val="008E1E10"/>
    <w:rsid w:val="008E291B"/>
    <w:rsid w:val="008E4F2F"/>
    <w:rsid w:val="008E74B0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55774"/>
    <w:rsid w:val="009560B5"/>
    <w:rsid w:val="009703D6"/>
    <w:rsid w:val="0097181B"/>
    <w:rsid w:val="0097349C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1D86"/>
    <w:rsid w:val="009B049C"/>
    <w:rsid w:val="009B11C8"/>
    <w:rsid w:val="009B2BCF"/>
    <w:rsid w:val="009B2FF8"/>
    <w:rsid w:val="009B5BA3"/>
    <w:rsid w:val="009D0027"/>
    <w:rsid w:val="009D0655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64E4"/>
    <w:rsid w:val="00A371A5"/>
    <w:rsid w:val="00A47BDF"/>
    <w:rsid w:val="00A51CD7"/>
    <w:rsid w:val="00A52ADB"/>
    <w:rsid w:val="00A533E8"/>
    <w:rsid w:val="00A542D9"/>
    <w:rsid w:val="00A56E64"/>
    <w:rsid w:val="00A624C3"/>
    <w:rsid w:val="00A6641C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B699B"/>
    <w:rsid w:val="00AD14F9"/>
    <w:rsid w:val="00AD35D6"/>
    <w:rsid w:val="00AD58C5"/>
    <w:rsid w:val="00AE36C4"/>
    <w:rsid w:val="00AE472C"/>
    <w:rsid w:val="00AE5375"/>
    <w:rsid w:val="00AE6CF8"/>
    <w:rsid w:val="00AF4CAC"/>
    <w:rsid w:val="00B03E0D"/>
    <w:rsid w:val="00B054F8"/>
    <w:rsid w:val="00B2219A"/>
    <w:rsid w:val="00B26BD2"/>
    <w:rsid w:val="00B32769"/>
    <w:rsid w:val="00B3581B"/>
    <w:rsid w:val="00B36B81"/>
    <w:rsid w:val="00B36FEE"/>
    <w:rsid w:val="00B37C80"/>
    <w:rsid w:val="00B46CCE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DCA"/>
    <w:rsid w:val="00BB2666"/>
    <w:rsid w:val="00BB6B80"/>
    <w:rsid w:val="00BC3773"/>
    <w:rsid w:val="00BC381A"/>
    <w:rsid w:val="00BC57E0"/>
    <w:rsid w:val="00BD0962"/>
    <w:rsid w:val="00BD1EED"/>
    <w:rsid w:val="00BF0DA2"/>
    <w:rsid w:val="00BF109C"/>
    <w:rsid w:val="00BF34FA"/>
    <w:rsid w:val="00BF6667"/>
    <w:rsid w:val="00C004B6"/>
    <w:rsid w:val="00C047A7"/>
    <w:rsid w:val="00C05DE5"/>
    <w:rsid w:val="00C33027"/>
    <w:rsid w:val="00C37667"/>
    <w:rsid w:val="00C4133A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A7CF2"/>
    <w:rsid w:val="00CB6991"/>
    <w:rsid w:val="00CC6194"/>
    <w:rsid w:val="00CC6305"/>
    <w:rsid w:val="00CC78A5"/>
    <w:rsid w:val="00CD0516"/>
    <w:rsid w:val="00CD1A3A"/>
    <w:rsid w:val="00CD756B"/>
    <w:rsid w:val="00CE734F"/>
    <w:rsid w:val="00CF112E"/>
    <w:rsid w:val="00CF161D"/>
    <w:rsid w:val="00CF5F4F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6227"/>
    <w:rsid w:val="00D77DF1"/>
    <w:rsid w:val="00D86AFF"/>
    <w:rsid w:val="00D93C2B"/>
    <w:rsid w:val="00D95A44"/>
    <w:rsid w:val="00D95D16"/>
    <w:rsid w:val="00D97C76"/>
    <w:rsid w:val="00DB02B4"/>
    <w:rsid w:val="00DB538D"/>
    <w:rsid w:val="00DC275C"/>
    <w:rsid w:val="00DC4B0D"/>
    <w:rsid w:val="00DC7FE1"/>
    <w:rsid w:val="00DD3F3F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37D76"/>
    <w:rsid w:val="00E41242"/>
    <w:rsid w:val="00E57322"/>
    <w:rsid w:val="00E628CB"/>
    <w:rsid w:val="00E62AD9"/>
    <w:rsid w:val="00E638C8"/>
    <w:rsid w:val="00E6710E"/>
    <w:rsid w:val="00E7509B"/>
    <w:rsid w:val="00E761A3"/>
    <w:rsid w:val="00E86590"/>
    <w:rsid w:val="00E907FF"/>
    <w:rsid w:val="00EA42D1"/>
    <w:rsid w:val="00EA42EF"/>
    <w:rsid w:val="00EB2DD1"/>
    <w:rsid w:val="00EB6B37"/>
    <w:rsid w:val="00EC29FE"/>
    <w:rsid w:val="00EC3C70"/>
    <w:rsid w:val="00ED3A3D"/>
    <w:rsid w:val="00ED4F36"/>
    <w:rsid w:val="00ED538A"/>
    <w:rsid w:val="00ED6FBC"/>
    <w:rsid w:val="00EE2F16"/>
    <w:rsid w:val="00EE3861"/>
    <w:rsid w:val="00EF2E73"/>
    <w:rsid w:val="00EF7683"/>
    <w:rsid w:val="00EF7A2D"/>
    <w:rsid w:val="00F04F8D"/>
    <w:rsid w:val="00F10AD0"/>
    <w:rsid w:val="00F116CC"/>
    <w:rsid w:val="00F126B9"/>
    <w:rsid w:val="00F12BD1"/>
    <w:rsid w:val="00F14EC4"/>
    <w:rsid w:val="00F15327"/>
    <w:rsid w:val="00F168CF"/>
    <w:rsid w:val="00F2555C"/>
    <w:rsid w:val="00F31DF3"/>
    <w:rsid w:val="00F33AE5"/>
    <w:rsid w:val="00F3597D"/>
    <w:rsid w:val="00F4376D"/>
    <w:rsid w:val="00F45399"/>
    <w:rsid w:val="00F465EA"/>
    <w:rsid w:val="00F54E7B"/>
    <w:rsid w:val="00F55A88"/>
    <w:rsid w:val="00F63015"/>
    <w:rsid w:val="00F74005"/>
    <w:rsid w:val="00F76884"/>
    <w:rsid w:val="00F83D24"/>
    <w:rsid w:val="00F83DD9"/>
    <w:rsid w:val="00F83F40"/>
    <w:rsid w:val="00FA117A"/>
    <w:rsid w:val="00FB386A"/>
    <w:rsid w:val="00FC0786"/>
    <w:rsid w:val="00FC49EF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0B0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aliases w:val="aotm_załączniki,Styl moj,Akapit z listą1,Akapit z listą11,List Paragraph1,Bullet1,podpunkt ankietyy,Table Legend,BulletPoints,5 - W tabeli,Bullet List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USTustnpkodeksu">
    <w:name w:val="UST(§) – ust. (§ np. kodeksu)"/>
    <w:basedOn w:val="Normalny"/>
    <w:uiPriority w:val="12"/>
    <w:qFormat/>
    <w:rsid w:val="00F6301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aliases w:val="aotm_załączniki Znak,Styl moj Znak,Akapit z listą1 Znak,Akapit z listą11 Znak,List Paragraph1 Znak,Bullet1 Znak,podpunkt ankietyy Znak,Table Legend Znak,BulletPoints Znak,5 - W tabeli Znak,Bullet List Znak"/>
    <w:link w:val="Akapitzlist"/>
    <w:uiPriority w:val="34"/>
    <w:qFormat/>
    <w:locked/>
    <w:rsid w:val="00F630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93C4BC7838A4CABC5ACC508EBF28F" ma:contentTypeVersion="2" ma:contentTypeDescription="Utwórz nowy dokument." ma:contentTypeScope="" ma:versionID="3f7cb6758a0d26a1b9f39300eef761e6">
  <xsd:schema xmlns:xsd="http://www.w3.org/2001/XMLSchema" xmlns:xs="http://www.w3.org/2001/XMLSchema" xmlns:p="http://schemas.microsoft.com/office/2006/metadata/properties" xmlns:ns2="c7c93337-ae5b-4788-8ffc-4fbbf4e57895" targetNamespace="http://schemas.microsoft.com/office/2006/metadata/properties" ma:root="true" ma:fieldsID="fc11ce2bf045068b2e428639fb2f113c" ns2:_="">
    <xsd:import namespace="c7c93337-ae5b-4788-8ffc-4fbbf4e57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93337-ae5b-4788-8ffc-4fbbf4e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9DABD-5F7D-49D8-8735-7CC83ABFD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90205-E56F-4A56-B0AF-1FE1EF276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93337-ae5b-4788-8ffc-4fbbf4e57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2250</Words>
  <Characters>15350</Characters>
  <Application>Microsoft Office Word</Application>
  <DocSecurity>4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17565</CharactersWithSpaces>
  <SharedDoc>false</SharedDoc>
  <HLinks>
    <vt:vector size="12" baseType="variant">
      <vt:variant>
        <vt:i4>1638433</vt:i4>
      </vt:variant>
      <vt:variant>
        <vt:i4>99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96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2022-05-18T07:51:00Z</dcterms:created>
  <dcterms:modified xsi:type="dcterms:W3CDTF">2022-05-18T07:51:00Z</dcterms:modified>
</cp:coreProperties>
</file>