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E635F" w:rsidRDefault="00AE635F" w:rsidP="00AE635F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bookmarkEnd w:id="0"/>
      <w:r>
        <w:rPr>
          <w:color w:val="000000"/>
          <w:u w:color="000000"/>
        </w:rPr>
        <w:t> 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E635F" w:rsidRDefault="00AE635F" w:rsidP="00AE635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ryczałtów za diagnostykę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08"/>
        <w:gridCol w:w="10264"/>
        <w:gridCol w:w="1967"/>
      </w:tblGrid>
      <w:tr w:rsidR="00AE635F" w:rsidTr="007F0227">
        <w:trPr>
          <w:trHeight w:val="69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świadczenia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Ryczałt roczny</w:t>
            </w:r>
            <w:r>
              <w:rPr>
                <w:b/>
                <w:color w:val="000000"/>
                <w:sz w:val="20"/>
                <w:u w:color="000000"/>
              </w:rPr>
              <w:br/>
              <w:t>(punkty)</w:t>
            </w:r>
          </w:p>
        </w:tc>
      </w:tr>
      <w:tr w:rsidR="00AE635F" w:rsidTr="007F0227">
        <w:trPr>
          <w:trHeight w:val="32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WZW typu B lamiwudyną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2 595,84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WZW typu B interferonem alfa pegylowanym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3 731,52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WZW typu B adefowirem lub entekawirem, lub tenofowirem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2 433,60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5.08.08.0000009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raka wątrobowokomórkowego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3 706,00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niedrobnokomórkowego lub drobnokomórkowego raka płuca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3 927,00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(trabektedyna)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3 665,60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mięsaków tkanek miękkich (pazopanib, sunitynib)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2 102,63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przerzutowego HER2+ raka piersi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3 273,00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neoadjuwantowego lub adjuwantowego HER2+ raka piersi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3 210,60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5.08.08.0000016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rakiem nerki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3 199,00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szpikową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7 008,96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zapobiegania krwawieniom u dzieci z hemofilią A i B – lokalne centra leczenia hemofilii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3 244,80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zapobiegania krwawieniom u dzieci z hemofilią A i B – regionalne centra leczenia hemofilii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5 408,00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u dzieci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2 633,70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przedwczesnego dojrzewania płciowego u dzieci lub zagrażającej patologicznej niskorosłości na skutek szybko postępującego dojrzewania płciowego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2 271,36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somatotropinową niedoczynnością przysadki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486,72 </w:t>
            </w:r>
          </w:p>
        </w:tc>
      </w:tr>
      <w:tr w:rsidR="00AE635F" w:rsidTr="007F0227">
        <w:trPr>
          <w:trHeight w:val="41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ciężkim pierwotnym niedoborem IGF-1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1 081,60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ciężkich wrodzonych hiperhomocysteinemii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3 352,96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5.08.08.0000029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Pompego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1 973,92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Gauchera typu I oraz typu III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1 460,16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Hurlera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1 297,92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mukopolisacharydozy typu 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2 487,68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przewlekłych zakażeń płuc u świadczeniobiorców z mukowiscydozą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711,15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dystonii ogniskowych i połowiczego kurczu twarzy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stwardnienia rozsianego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1 671,00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spastyczności w mózgowym porażeniu dziecięcym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5.08.08.0000038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tętniczego nadciśnienia płucnego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5 840,64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chorobą Leśniowskiego-Crohna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2 920,32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aktywnej postaci reumatoidalnego zapalenia stawów i młodzieńczego idiopatycznego zapalenia stawów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aktywnej postaci łuszczycowego zapalenia stawów (ŁZS)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aktywnej postaci zesztywniającego zapalenia stawów kręgosłupa (ZZSK)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niedokrwistości w przebiegu przewlekłej niewydolności nerek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przewlekłą niewydolność nerek (PNN) hormonem wzrostu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1 784,64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zespołu Prader – Willi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1 135,68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5.08.08.0000049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niskorosłych dzieci z zespołem Turnera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z ciężką postacią astmy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984,80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stwardnienia rozsianego po niepowodzeniu terapii lekami pierwszego rzutu lub szybko rozwijającej się ciężkiej postaci stwardnienia rozsianego lub pierwotnie postępującej postaci stwardnienia rozsianego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1 671,00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5.08.08.0000054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umiarkowanej i ciężkiej postaci łuszczycy plackowatej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778,75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wysokozróżnicowanego nowotworu neuroendokrynnego trzustki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1 610,60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szpiczaka plazmocytowego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3 350,00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pacjentów z wrzodziejącym zapaleniem jelita grubego (WZJG)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865,28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opornego na kastrację raka gruczołu krokowego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2 758,08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zaawansowanego raka żołądka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5 478,00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czerniaka skóry lub błon śluzowych niwolumabem lub pembrolizumabem lub terapią skojarzoną niwolumabem z ipilimumabem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3 656,96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czerniaka skóry lub błon śluzowych terapią skojarzoną wemurafenibem z kobimetynibem albo dabrafenibem z trametynibem albo enkorafenibem z binimetynibem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5 757,00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pierwotnych niedoborów odporności (PNO) u pacjentów dorosłych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2 633,70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hormonem wzrostu niskorosłych dzieci urodzonych jako zbyt małe w porównaniu do czasu trwania ciąży (SGA lub IUGR)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3 169,09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białaczkę limfoblastyczną (dazatynib, ponatynib, blinatumomab, inotuzumab ozogamycyny)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9 196,80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pierwotne chłoniaki skórne T – komórkowe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2 943,00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immunoglobulinami chorób neurologicznych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1 406,08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5.08.08.0000079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wirusowego zapalenia wątroby typu C terapią bezinterferonową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1 514,24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neurogennej nadreaktywności wypieracza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458,60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przewlekłego zakrzepowo-zatorowego nadciśnienia płucnego (CTEPH)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5 137,60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aktywnej postaci ziarniniakowatości z zapaleniem naczyń (GPA) lub mikroskopowego zapalenia naczyń (MPA)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1 050,23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tyrozynemii typu 1 (HT-1)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4 542,72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CD30+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3 861,00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5.08.08.0000087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przewlekłej białaczki limfocytowej obinutuzumabem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2 207,00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</w:t>
            </w:r>
            <w:r>
              <w:t>l</w:t>
            </w:r>
            <w:r>
              <w:rPr>
                <w:sz w:val="20"/>
              </w:rPr>
              <w:t>eczenia pacjentów z aktywną postacią spondyloartropatii (SpA) bez zmian radiograficznych charakterystycznych dla ZZSK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879,88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lenalidomid w leczeniu pacjentów z anemią zależną od przetoczeń w przebiegu zespołów mielodysplastycznych o niskim lub pośrednim-1 ryzyku, związanych z nieprawidłowością cytogenetyczną w postaci izolowanej delecji 5q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2 078,00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przerzutowym gruczolakorakiem trzustki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5 314,00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wrodzonych zespołów autozapalnych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1 375,80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idiopatycznego włóknienia płuc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1 676,48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podstawnokomórkowego skóry wismodegibem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2 354,64 </w:t>
            </w:r>
          </w:p>
        </w:tc>
      </w:tr>
      <w:tr w:rsidR="00AE635F" w:rsidTr="007F0227">
        <w:trPr>
          <w:trHeight w:val="62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64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ewerolimusem chorych na stwardnienie guzowate z niekwalifikującymi się do leczenia operacyjnego guzami podwyściółkowymi olbrzymiokomórkowymi (SEGA)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2 704,00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5.08.08.0000099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zaburzeń motorycznych w przebiegu zaawansowanej choroby Parkinsona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324,48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limfocytową ibrutynibem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2 598,00 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rozlane z dużych komórek B oraz inne chłoniaki B-komórkowe (piksantron, polatuzumab)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2 528,50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(aHUS)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6 021,33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atypowego zespołu hemolityczno-mocznicowego (aHUS) - 2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1 997,33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nocnej napadowej hemoglobinurii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4 083,00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pierwotną małopłytkowość immunologiczną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1 718,00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pediatrycznych chorych na pierwotną małopłytkowość immunologiczną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1 395,00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5.08.08.0000109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akromegalii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2 388,00</w:t>
            </w:r>
          </w:p>
        </w:tc>
      </w:tr>
      <w:tr w:rsidR="00AE635F" w:rsidTr="007F0227">
        <w:trPr>
          <w:trHeight w:val="56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 oporną i  nawrotową postać klasycznego chłoniaka Hodgkina z zastosowaniem niwolumabu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3 302,67</w:t>
            </w:r>
          </w:p>
        </w:tc>
      </w:tr>
      <w:tr w:rsidR="00AE635F" w:rsidTr="007F0227">
        <w:trPr>
          <w:trHeight w:val="52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3 216,00</w:t>
            </w:r>
          </w:p>
        </w:tc>
      </w:tr>
      <w:tr w:rsidR="00AE635F" w:rsidTr="007F0227">
        <w:trPr>
          <w:trHeight w:val="61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choroby rozsianej lub nieoperacyjnej - 2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2 245,00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nowotworów podścieliska przewodu pokarmowego (GIST) - leczenie adjuwantowe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jelita grubego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3 579,50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złośliwe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3 990,00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złośliwe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873,00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raka jajnika, raka jajowodu lub raka otrzewnej – olaparyb (1 rok terapii), niraparyb (1 rok terapii)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4 282,40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raka jajnika, raka jajowodu lub raka otrzewnej – 2 i kolejne lata terapii olaparybem lub niraparybem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2 748,40</w:t>
            </w:r>
          </w:p>
        </w:tc>
      </w:tr>
      <w:tr w:rsidR="00AE635F" w:rsidTr="007F0227">
        <w:trPr>
          <w:trHeight w:val="42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5.08.08.0000119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płaskonabłonkowego raka narządów głowy i szyi cetuksymabem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2 203,00</w:t>
            </w:r>
          </w:p>
        </w:tc>
      </w:tr>
      <w:tr w:rsidR="00AE635F" w:rsidTr="007F0227">
        <w:trPr>
          <w:trHeight w:val="40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płaskonabłonkowego raka narządów głowy i szyi cetuksymabem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937,00</w:t>
            </w:r>
          </w:p>
        </w:tc>
      </w:tr>
      <w:tr w:rsidR="00AE635F" w:rsidTr="007F0227">
        <w:trPr>
          <w:trHeight w:val="55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mielofibrozy pierwotnej oraz mielofibrozy wtórnej w przebiegu czerwienicy prawdziwej i nadpłytkowości samoistnej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790,00</w:t>
            </w:r>
          </w:p>
        </w:tc>
      </w:tr>
      <w:tr w:rsidR="00AE635F" w:rsidTr="007F0227">
        <w:trPr>
          <w:trHeight w:val="55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mielofibrozy pierwotnej oraz mielofibrozy wtórnej w przebiegu czerwienicy prawdziwej i nadpłytkowości samoistnej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195,00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inhibitorami PCSK-9 pacjentów z zaburzeniami lipidowymi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rdzeniowego zaniku mięśni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1 200,00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rdzeniowego zaniku mięśni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600,00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limfocytową wenetoklaksem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3 242,00</w:t>
            </w:r>
          </w:p>
        </w:tc>
      </w:tr>
      <w:tr w:rsidR="00AE635F" w:rsidTr="007F0227">
        <w:trPr>
          <w:trHeight w:val="58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przewlekłą białaczkę limfocytową wenetoklaksem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1 090,00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5.08.08.0000129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Fabry’ego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2 493,00</w:t>
            </w:r>
          </w:p>
        </w:tc>
      </w:tr>
      <w:tr w:rsidR="00AE635F" w:rsidTr="007F0227">
        <w:trPr>
          <w:trHeight w:val="27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zapalenia błony naczyniowej oka (ZBN) - część pośrednia, odcinek tylny lub cała błona naczyniowa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 2 574,00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raka piersi z zastosowaniem palbocyklibu lub rybocyklibu lub abemacyklibu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3 218,00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płaskonabłonkowego raka narządów głowy i szyi niwolumabem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2 956,00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96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profilaktyka reaktywacji wirusowego zapalenia wątroby typu b u świadczeniobiorców po przeszczepach lub u świadczeniobiorców otrzymujących leczenie związane z ryzykiem reaktywacji HBV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1 120,00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przewlekłej pokrzywki spontanicznej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agresywnego i objawowego, nieoperacyjnego, miejscowo zaawansowanego lub przerzutowego raka rdzeniastego tarczycy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3 744,00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5.08.08.0000137 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płaskonabłonkowego raka narządów głowy i szyi cetuksymabem w skojarzeniu z chemioterapią opartą na pochodnych platyny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3 404,00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5.08.08.0000138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uzupełniającego L-karnityną w wybranych chorobach metabolicznych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492,00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dinutuksymabem beta pacjentów z nerwiakiem zarodkowym współczulnym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9 781,00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840,00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ciężkiego niedoboru hormonu wzrostu u pacjentów dorosłych oraz u młodzieży po zakończeniu terapii promującej wzrastanie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212,00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mukowiscydozę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637,00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chorobami nerek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białaczkę szpikową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3 375,51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3 331,51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agresywnej mastocytozy układowej, mastocytozy układowej z współistniejącym nowotworem układu krwiotwórczego oraz białaczki mastocytarnej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1 410,00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5.08.08.0000149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raka z komórek Merkla awelumabem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2 049,05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2 981,00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choroby Cushinga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1 595,50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112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3 466,40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postępującym, miejscowo zaawansowanym lub z przerzutami, zróżnicowanym (brodawkowatym/ pęcherzykowym/oksyfilnym - z komórek Hürthle’a) rakiem tarczycy, opornym na leczenie jodem radioaktywnym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1 486,40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neowaskularnej (wysiękowej) postaci zwyrodnienia plamki związanego z wiekiem (AMD)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neowaskularnej (wysiękowej) postaci zwyrodnienia plamki związanego z wiekiem (AMD)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cukrzycowy obrzęk plamki (DME) – kwalifikacja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409,00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cukrzycowy obrzęk plamki (DME) – monitorowanie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249,00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5.08.08.0000069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leczenia chorych na wczesnodziecięcą postać cystynozy nefropatycznej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4 056,00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leczenie zapobiegawcze chorych z nawracającymi napadami dziedzicznego obrzęku naczynioruchowego o ciężkim przebiegu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375,00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5.08.08.0000159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1 572,50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chorobą Wilsona - 2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568,50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Diagnostyka w programie lekowym leczenie chorych na ostrą białaczkę limfoblastyczną – monitorowanie terapii tisagenlecleucelem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amifamprydyną pacjentów z zespołem miastenicznym Lamberta-Eatona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1 552,80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amifamprydyną pacjentów z zespołem miastenicznym Lamberta-Eatona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266,00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z ciężką postacią atopowego zapalenia skóry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358,00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5.08.08.0000165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zaawansowanego raka kolczystokomórkowego skóry cemiplimabem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1 622,00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5.08.08.0000166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pacjentów z autosomalnie dominującą postacią zwyrodnienia wielotorbielowatego nerek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974,60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128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5.08.08.0000167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ciężką anemię aplastyczną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7 548,53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5.08.08.0000168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dorosłych chorych na ciężką anemię aplastyczną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3 124,51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5.08.08.0000169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1 053,4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5.08.08.0000170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ostrą porfirię wątrobową (AHP) u dorosłych i  młodzieży w wieku od 12 lat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5.08.08.0000171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1 - 1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1 730,02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5.08.08.0000172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pierwotną hiperoksalurię typu 1 – 2 i kolejny rok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532,00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5.08.08.0000173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z dystrofią mięśniową Duchenne’a spowodowaną mutacją nonsensowną w genie dystrofiny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225,00</w:t>
            </w:r>
          </w:p>
        </w:tc>
      </w:tr>
      <w:tr w:rsidR="00AE635F" w:rsidTr="007F0227">
        <w:trPr>
          <w:trHeight w:val="39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5.08.08.0000174</w:t>
            </w:r>
          </w:p>
        </w:tc>
        <w:tc>
          <w:tcPr>
            <w:tcW w:w="10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Diagnostyka w programie leczenia chorych na chłoniaki rozlane z dużych komórek B aksykabtagenem cyloleucelu albo tisagenlecleucelem – monitorowanie terapii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4 780,00</w:t>
            </w:r>
          </w:p>
        </w:tc>
      </w:tr>
      <w:tr w:rsidR="00AE635F" w:rsidTr="007F0227">
        <w:trPr>
          <w:trHeight w:val="397"/>
        </w:trPr>
        <w:tc>
          <w:tcPr>
            <w:tcW w:w="150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E635F" w:rsidRDefault="00AE635F" w:rsidP="007F0227">
            <w:pPr>
              <w:jc w:val="left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1</w:t>
            </w:r>
            <w:r>
              <w:t xml:space="preserve"> Produkt rozliczany na zasadach opisanych w § 24 ust. 5 zarządzenia</w:t>
            </w:r>
          </w:p>
        </w:tc>
      </w:tr>
    </w:tbl>
    <w:p w:rsidR="00AE635F" w:rsidRDefault="00AE635F" w:rsidP="00AE635F">
      <w:pPr>
        <w:rPr>
          <w:color w:val="000000"/>
          <w:u w:color="000000"/>
        </w:rPr>
        <w:sectPr w:rsidR="00AE635F" w:rsidSect="00AE635F">
          <w:footerReference w:type="default" r:id="rId4"/>
          <w:endnotePr>
            <w:numFmt w:val="decimal"/>
          </w:endnotePr>
          <w:pgSz w:w="16838" w:h="11906" w:orient="landscape"/>
          <w:pgMar w:top="1417" w:right="1020" w:bottom="1276" w:left="1020" w:header="708" w:footer="708" w:gutter="0"/>
          <w:pgNumType w:start="1"/>
          <w:cols w:space="708"/>
          <w:docGrid w:linePitch="360"/>
        </w:sectPr>
      </w:pPr>
    </w:p>
    <w:p w:rsidR="00A21E00" w:rsidRDefault="00A21E00"/>
    <w:sectPr w:rsidR="00A21E00" w:rsidSect="00AE6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50D9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98" w:rsidRDefault="00AE635F">
          <w:pPr>
            <w:jc w:val="left"/>
            <w:rPr>
              <w:sz w:val="18"/>
            </w:rPr>
          </w:pPr>
          <w:r>
            <w:rPr>
              <w:sz w:val="18"/>
            </w:rPr>
            <w:t>Id: CF3D3EE1-AF5A-4</w:t>
          </w:r>
          <w:r>
            <w:rPr>
              <w:sz w:val="18"/>
            </w:rPr>
            <w:t>513-BEB6-66EBD16CE762.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98" w:rsidRDefault="00AE635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50D98" w:rsidRDefault="00AE635F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5F"/>
    <w:rsid w:val="00A21E00"/>
    <w:rsid w:val="00A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93CB-32F4-450C-BFDB-2C0A9D18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5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1</cp:revision>
  <dcterms:created xsi:type="dcterms:W3CDTF">2022-04-28T12:07:00Z</dcterms:created>
  <dcterms:modified xsi:type="dcterms:W3CDTF">2022-04-28T12:07:00Z</dcterms:modified>
</cp:coreProperties>
</file>