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77"/>
        <w:gridCol w:w="541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1153536F" w:rsidR="002528F5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rozporządzenia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ego</w:t>
            </w:r>
            <w:r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74BCDF73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596C45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6673956E" w:rsidR="00FD25F0" w:rsidRPr="001E68F7" w:rsidRDefault="00BA0245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627833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627833">
              <w:rPr>
                <w:rFonts w:ascii="Times New Roman" w:eastAsia="Calibri" w:hAnsi="Times New Roman" w:cs="Times New Roman"/>
              </w:rPr>
              <w:t>2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5D2F5756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8B324F">
              <w:rPr>
                <w:rFonts w:ascii="Times New Roman" w:eastAsia="Times New Roman" w:hAnsi="Times New Roman" w:cs="Times New Roman"/>
              </w:rPr>
              <w:t>1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1</w:t>
            </w:r>
            <w:r w:rsidR="008B324F">
              <w:rPr>
                <w:rFonts w:ascii="Times New Roman" w:eastAsia="Times New Roman" w:hAnsi="Times New Roman" w:cs="Times New Roman"/>
              </w:rPr>
              <w:t>285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5207B63B" w14:textId="2936CE41" w:rsidR="003E359E" w:rsidRPr="001915D4" w:rsidRDefault="003E359E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915D4">
              <w:rPr>
                <w:rFonts w:ascii="Times New Roman" w:eastAsia="Calibri" w:hAnsi="Times New Roman" w:cs="Times New Roman"/>
                <w:bCs/>
              </w:rPr>
              <w:t>13</w:t>
            </w:r>
            <w:r w:rsidR="001915D4">
              <w:rPr>
                <w:rFonts w:ascii="Times New Roman" w:eastAsia="Calibri" w:hAnsi="Times New Roman" w:cs="Times New Roman"/>
                <w:bCs/>
              </w:rPr>
              <w:t>1</w:t>
            </w:r>
            <w:r w:rsidRPr="001915D4">
              <w:rPr>
                <w:rFonts w:ascii="Times New Roman" w:eastAsia="Calibri" w:hAnsi="Times New Roman" w:cs="Times New Roman"/>
                <w:bCs/>
              </w:rPr>
              <w:t>0</w:t>
            </w:r>
          </w:p>
          <w:p w14:paraId="2DEC9634" w14:textId="1381B0FA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D16DD1">
        <w:trPr>
          <w:trHeight w:val="990"/>
        </w:trPr>
        <w:tc>
          <w:tcPr>
            <w:tcW w:w="11086" w:type="dxa"/>
            <w:gridSpan w:val="28"/>
            <w:shd w:val="clear" w:color="auto" w:fill="FFFFFF"/>
          </w:tcPr>
          <w:p w14:paraId="28CED71C" w14:textId="50DF3666" w:rsidR="00384B4B" w:rsidRDefault="00384B4B" w:rsidP="00384B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20DBF">
              <w:rPr>
                <w:rFonts w:ascii="Times New Roman" w:eastAsia="Calibri" w:hAnsi="Times New Roman" w:cs="Times New Roman"/>
              </w:rPr>
              <w:t xml:space="preserve">Celem rozporządzenia zmieniającego rozporządzenie Ministra </w:t>
            </w:r>
            <w:r w:rsidRPr="00960323">
              <w:rPr>
                <w:rFonts w:ascii="Times New Roman" w:eastAsia="Calibri" w:hAnsi="Times New Roman" w:cs="Times New Roman"/>
              </w:rPr>
              <w:t xml:space="preserve">Zdrowia </w:t>
            </w:r>
            <w:r w:rsidRPr="00A17C9A">
              <w:rPr>
                <w:rFonts w:ascii="Times New Roman" w:eastAsia="Calibri" w:hAnsi="Times New Roman" w:cs="Times New Roman"/>
              </w:rPr>
              <w:t>z dnia 6 listopada 2013 r</w:t>
            </w:r>
            <w:r w:rsidRPr="00960323">
              <w:rPr>
                <w:rFonts w:ascii="Times New Roman" w:eastAsia="Calibri" w:hAnsi="Times New Roman" w:cs="Times New Roman"/>
              </w:rPr>
              <w:t>. w sprawie świadczeń gwarantowanych z zakresu ambulatoryjnej opieki specjalistycznej</w:t>
            </w:r>
            <w:r w:rsidRPr="00220DBF">
              <w:rPr>
                <w:rFonts w:ascii="Times New Roman" w:eastAsia="Calibri" w:hAnsi="Times New Roman" w:cs="Times New Roman"/>
              </w:rPr>
              <w:t xml:space="preserve"> (</w:t>
            </w:r>
            <w:r w:rsidRPr="00835528">
              <w:rPr>
                <w:rFonts w:ascii="Times New Roman" w:eastAsia="Times New Roman" w:hAnsi="Times New Roman" w:cs="Times New Roman"/>
                <w:bCs/>
                <w:lang w:eastAsia="pl-PL"/>
              </w:rPr>
              <w:t>Dz. U. z 2016 r. poz. 357, z późn. zm.)</w:t>
            </w:r>
            <w:r w:rsidRPr="00220DBF">
              <w:rPr>
                <w:rFonts w:ascii="Times New Roman" w:eastAsia="Calibri" w:hAnsi="Times New Roman" w:cs="Times New Roman"/>
              </w:rPr>
              <w:t xml:space="preserve"> </w:t>
            </w:r>
            <w:r w:rsidRPr="00220DBF">
              <w:rPr>
                <w:rFonts w:ascii="Times New Roman" w:eastAsia="Times New Roman" w:hAnsi="Times New Roman" w:cs="Times New Roman"/>
                <w:bCs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zapewnienie prewencji i wczesnego wykrywania nowotworów dziedzicznych przez </w:t>
            </w:r>
            <w:r w:rsidRPr="00EE5832">
              <w:rPr>
                <w:rFonts w:ascii="Times New Roman" w:eastAsia="Calibri" w:hAnsi="Times New Roman" w:cs="Times New Roman"/>
              </w:rPr>
              <w:t>zidentyfikowanie osób z rodzin wysokiego</w:t>
            </w:r>
            <w:r w:rsidR="001915D4">
              <w:rPr>
                <w:rFonts w:ascii="Times New Roman" w:eastAsia="Calibri" w:hAnsi="Times New Roman" w:cs="Times New Roman"/>
              </w:rPr>
              <w:t>,</w:t>
            </w:r>
            <w:r w:rsidR="00764F8D">
              <w:rPr>
                <w:rFonts w:ascii="Times New Roman" w:eastAsia="Calibri" w:hAnsi="Times New Roman" w:cs="Times New Roman"/>
              </w:rPr>
              <w:t xml:space="preserve"> </w:t>
            </w:r>
            <w:r w:rsidRPr="00EE5832">
              <w:rPr>
                <w:rFonts w:ascii="Times New Roman" w:eastAsia="Calibri" w:hAnsi="Times New Roman" w:cs="Times New Roman"/>
              </w:rPr>
              <w:t xml:space="preserve"> dziedziczni</w:t>
            </w:r>
            <w:r w:rsidR="001915D4">
              <w:rPr>
                <w:rFonts w:ascii="Times New Roman" w:eastAsia="Calibri" w:hAnsi="Times New Roman" w:cs="Times New Roman"/>
              </w:rPr>
              <w:t>e</w:t>
            </w:r>
            <w:r w:rsidRPr="00EE5832">
              <w:rPr>
                <w:rFonts w:ascii="Times New Roman" w:eastAsia="Calibri" w:hAnsi="Times New Roman" w:cs="Times New Roman"/>
              </w:rPr>
              <w:t xml:space="preserve"> uwarunkowanego ryzyka zachorowania na wybrane nowotwory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E5832">
              <w:rPr>
                <w:rFonts w:ascii="Times New Roman" w:eastAsia="Calibri" w:hAnsi="Times New Roman" w:cs="Times New Roman"/>
              </w:rPr>
              <w:t xml:space="preserve"> takie jak rak piersi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E5832">
              <w:rPr>
                <w:rFonts w:ascii="Times New Roman" w:eastAsia="Calibri" w:hAnsi="Times New Roman" w:cs="Times New Roman"/>
              </w:rPr>
              <w:t xml:space="preserve">rak </w:t>
            </w:r>
            <w:r w:rsidRPr="00394B0A">
              <w:rPr>
                <w:rFonts w:ascii="Times New Roman" w:eastAsia="Calibri" w:hAnsi="Times New Roman" w:cs="Times New Roman"/>
              </w:rPr>
              <w:t>jajnika, rak jelita grubego</w:t>
            </w:r>
            <w:r>
              <w:rPr>
                <w:rFonts w:ascii="Times New Roman" w:eastAsia="Calibri" w:hAnsi="Times New Roman" w:cs="Times New Roman"/>
              </w:rPr>
              <w:t xml:space="preserve">, rak </w:t>
            </w:r>
            <w:r w:rsidRPr="00394B0A">
              <w:rPr>
                <w:rFonts w:ascii="Times New Roman" w:eastAsia="Calibri" w:hAnsi="Times New Roman" w:cs="Times New Roman"/>
              </w:rPr>
              <w:t>błony śluzowej trzonu macicy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E5832">
              <w:rPr>
                <w:rFonts w:ascii="Times New Roman" w:eastAsia="Calibri" w:hAnsi="Times New Roman" w:cs="Times New Roman"/>
              </w:rPr>
              <w:t xml:space="preserve"> siatkówczak i chorob</w:t>
            </w:r>
            <w:r w:rsidR="009A6971">
              <w:rPr>
                <w:rFonts w:ascii="Times New Roman" w:eastAsia="Calibri" w:hAnsi="Times New Roman" w:cs="Times New Roman"/>
              </w:rPr>
              <w:t>a</w:t>
            </w:r>
            <w:r w:rsidRPr="00EE5832">
              <w:rPr>
                <w:rFonts w:ascii="Times New Roman" w:eastAsia="Calibri" w:hAnsi="Times New Roman" w:cs="Times New Roman"/>
              </w:rPr>
              <w:t xml:space="preserve"> von Hippel-Lindau (VHL), a następnie objęcie ich specjalistyczną opieką ukierunkowaną na aktywną prewencję zachorowań oraz możliwe najwcześniejsze</w:t>
            </w:r>
            <w:r w:rsidR="009A6971">
              <w:rPr>
                <w:rFonts w:ascii="Times New Roman" w:eastAsia="Calibri" w:hAnsi="Times New Roman" w:cs="Times New Roman"/>
              </w:rPr>
              <w:t xml:space="preserve"> ich</w:t>
            </w:r>
            <w:r w:rsidRPr="00EE5832">
              <w:rPr>
                <w:rFonts w:ascii="Times New Roman" w:eastAsia="Calibri" w:hAnsi="Times New Roman" w:cs="Times New Roman"/>
              </w:rPr>
              <w:t xml:space="preserve"> rozpoznanie.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E669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943ED8" w14:textId="67BA10A3" w:rsidR="00F6018C" w:rsidRPr="008A4597" w:rsidRDefault="00384B4B" w:rsidP="00384B4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21E50">
              <w:rPr>
                <w:rFonts w:ascii="Times New Roman" w:eastAsia="Calibri" w:hAnsi="Times New Roman" w:cs="Times New Roman"/>
              </w:rPr>
              <w:t xml:space="preserve">Opieka nad rodzinami wysokiego, dziedzicznie uwarunkowanego ryzyka zachorowania na nowotwory złośliwe prowadzona </w:t>
            </w:r>
            <w:r>
              <w:rPr>
                <w:rFonts w:ascii="Times New Roman" w:eastAsia="Calibri" w:hAnsi="Times New Roman" w:cs="Times New Roman"/>
              </w:rPr>
              <w:t>jest</w:t>
            </w:r>
            <w:r w:rsidRPr="00D21E5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obecnie</w:t>
            </w:r>
            <w:r w:rsidR="008A4597">
              <w:rPr>
                <w:rFonts w:ascii="Times New Roman" w:eastAsia="Calibri" w:hAnsi="Times New Roman" w:cs="Times New Roman"/>
              </w:rPr>
              <w:t xml:space="preserve"> </w:t>
            </w:r>
            <w:r w:rsidRPr="00D21E50">
              <w:rPr>
                <w:rFonts w:ascii="Times New Roman" w:eastAsia="Calibri" w:hAnsi="Times New Roman" w:cs="Times New Roman"/>
              </w:rPr>
              <w:t>w ramach</w:t>
            </w:r>
            <w:r>
              <w:rPr>
                <w:rFonts w:ascii="Times New Roman" w:eastAsia="Calibri" w:hAnsi="Times New Roman" w:cs="Times New Roman"/>
              </w:rPr>
              <w:t xml:space="preserve"> programu wieloletniego pn. Narodowa Strategia Onkologiczna </w:t>
            </w:r>
            <w:r w:rsidR="008A4597">
              <w:rPr>
                <w:rFonts w:ascii="Times New Roman" w:eastAsia="Calibri" w:hAnsi="Times New Roman" w:cs="Times New Roman"/>
              </w:rPr>
              <w:t xml:space="preserve">na lata 2020-2030 </w:t>
            </w:r>
            <w:r>
              <w:rPr>
                <w:rFonts w:ascii="Times New Roman" w:eastAsia="Calibri" w:hAnsi="Times New Roman" w:cs="Times New Roman"/>
              </w:rPr>
              <w:t xml:space="preserve">(NSO). Zgodnie z założeniami programu, finansowanie </w:t>
            </w:r>
            <w:r w:rsidRPr="00714F7C">
              <w:rPr>
                <w:rFonts w:ascii="Times New Roman" w:eastAsia="Calibri" w:hAnsi="Times New Roman" w:cs="Times New Roman"/>
              </w:rPr>
              <w:t xml:space="preserve">opieki nad rodzinami wysokiego, dziedzicznie uwarunkowanego ryzyka zachorowania na wybrane nowotwory </w:t>
            </w:r>
            <w:r>
              <w:rPr>
                <w:rFonts w:ascii="Times New Roman" w:eastAsia="Calibri" w:hAnsi="Times New Roman" w:cs="Times New Roman"/>
              </w:rPr>
              <w:t xml:space="preserve">ze środków NSO </w:t>
            </w:r>
            <w:r w:rsidR="003E359E">
              <w:rPr>
                <w:rFonts w:ascii="Times New Roman" w:eastAsia="Calibri" w:hAnsi="Times New Roman" w:cs="Times New Roman"/>
              </w:rPr>
              <w:t xml:space="preserve">jest </w:t>
            </w:r>
            <w:r>
              <w:rPr>
                <w:rFonts w:ascii="Times New Roman" w:eastAsia="Calibri" w:hAnsi="Times New Roman" w:cs="Times New Roman"/>
              </w:rPr>
              <w:t>możliwe nie dłużej niż do dnia 3</w:t>
            </w:r>
            <w:r w:rsidR="00F865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86500">
              <w:rPr>
                <w:rFonts w:ascii="Times New Roman" w:eastAsia="Calibri" w:hAnsi="Times New Roman" w:cs="Times New Roman"/>
              </w:rPr>
              <w:t>czerwca</w:t>
            </w:r>
            <w:r>
              <w:rPr>
                <w:rFonts w:ascii="Times New Roman" w:eastAsia="Calibri" w:hAnsi="Times New Roman" w:cs="Times New Roman"/>
              </w:rPr>
              <w:t xml:space="preserve"> 2022 r.</w:t>
            </w:r>
            <w:r w:rsidR="003E359E">
              <w:rPr>
                <w:rFonts w:ascii="Times New Roman" w:eastAsia="Calibri" w:hAnsi="Times New Roman" w:cs="Times New Roman"/>
              </w:rPr>
              <w:t xml:space="preserve"> N</w:t>
            </w:r>
            <w:r>
              <w:rPr>
                <w:rFonts w:ascii="Times New Roman" w:eastAsia="Calibri" w:hAnsi="Times New Roman" w:cs="Times New Roman"/>
              </w:rPr>
              <w:t xml:space="preserve">astępnie finansowanie będzie się odbywało </w:t>
            </w:r>
            <w:r w:rsidRPr="00F34242">
              <w:rPr>
                <w:rFonts w:ascii="Times New Roman" w:hAnsi="Times New Roman"/>
                <w:color w:val="000000"/>
              </w:rPr>
              <w:t>ze środków Narodowego Funduszu Zdrowi</w:t>
            </w:r>
            <w:r w:rsidR="009A6971">
              <w:rPr>
                <w:rFonts w:ascii="Times New Roman" w:hAnsi="Times New Roman"/>
                <w:color w:val="000000"/>
              </w:rPr>
              <w:t>, dlatego też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A6971">
              <w:rPr>
                <w:rFonts w:ascii="Times New Roman" w:hAnsi="Times New Roman"/>
                <w:color w:val="000000"/>
              </w:rPr>
              <w:t>k</w:t>
            </w:r>
            <w:r w:rsidRPr="00F34242">
              <w:rPr>
                <w:rFonts w:ascii="Times New Roman" w:hAnsi="Times New Roman"/>
                <w:color w:val="000000"/>
              </w:rPr>
              <w:t xml:space="preserve">onieczne jest </w:t>
            </w:r>
            <w:r>
              <w:rPr>
                <w:rFonts w:ascii="Times New Roman" w:hAnsi="Times New Roman"/>
                <w:color w:val="000000"/>
              </w:rPr>
              <w:t xml:space="preserve"> wprowadzenie nowych</w:t>
            </w:r>
            <w:r w:rsidRPr="00F34242">
              <w:rPr>
                <w:rFonts w:ascii="Times New Roman" w:hAnsi="Times New Roman"/>
                <w:color w:val="000000"/>
              </w:rPr>
              <w:t xml:space="preserve"> świadczeń </w:t>
            </w:r>
            <w:r>
              <w:rPr>
                <w:rFonts w:ascii="Times New Roman" w:hAnsi="Times New Roman"/>
                <w:color w:val="000000"/>
              </w:rPr>
              <w:t>do wykazu</w:t>
            </w:r>
            <w:r w:rsidRPr="00F34242">
              <w:rPr>
                <w:rFonts w:ascii="Times New Roman" w:hAnsi="Times New Roman"/>
                <w:color w:val="000000"/>
              </w:rPr>
              <w:t xml:space="preserve"> świadczeń gwarantowanych z zakresu </w:t>
            </w:r>
            <w:r>
              <w:rPr>
                <w:rFonts w:ascii="Times New Roman" w:hAnsi="Times New Roman"/>
                <w:color w:val="000000"/>
              </w:rPr>
              <w:t>ambulatoryjnej opieki specjalistycznej.</w:t>
            </w:r>
            <w:r w:rsidR="00BA024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8"/>
            <w:shd w:val="clear" w:color="auto" w:fill="auto"/>
          </w:tcPr>
          <w:p w14:paraId="084E1A3F" w14:textId="1A7C3CB5" w:rsidR="00384B4B" w:rsidRPr="00BA0245" w:rsidRDefault="009A6971" w:rsidP="00384B4B">
            <w:pPr>
              <w:spacing w:after="0" w:line="240" w:lineRule="auto"/>
              <w:jc w:val="both"/>
              <w:rPr>
                <w:rStyle w:val="pismamzZnak"/>
                <w:rFonts w:ascii="Times New Roman" w:eastAsiaTheme="minorHAnsi" w:hAnsi="Times New Roman"/>
              </w:rPr>
            </w:pPr>
            <w:r>
              <w:rPr>
                <w:rFonts w:ascii="Times New Roman" w:hAnsi="Times New Roman" w:cs="Times New Roman"/>
              </w:rPr>
              <w:t>Wprowadzenie zmian do</w:t>
            </w:r>
            <w:r w:rsidR="00BA0245">
              <w:rPr>
                <w:rFonts w:ascii="Times New Roman" w:hAnsi="Times New Roman" w:cs="Times New Roman"/>
              </w:rPr>
              <w:t xml:space="preserve"> </w:t>
            </w:r>
            <w:r w:rsidR="00384B4B" w:rsidRPr="00384B4B">
              <w:rPr>
                <w:rFonts w:ascii="Times New Roman" w:hAnsi="Times New Roman" w:cs="Times New Roman"/>
              </w:rPr>
              <w:t>załącznik</w:t>
            </w:r>
            <w:r>
              <w:rPr>
                <w:rFonts w:ascii="Times New Roman" w:hAnsi="Times New Roman" w:cs="Times New Roman"/>
              </w:rPr>
              <w:t>a</w:t>
            </w:r>
            <w:r w:rsidR="00384B4B" w:rsidRPr="00384B4B">
              <w:rPr>
                <w:rFonts w:ascii="Times New Roman" w:hAnsi="Times New Roman" w:cs="Times New Roman"/>
              </w:rPr>
              <w:t xml:space="preserve"> nr 5 do rozporządzenia Ministra Zdrowia</w:t>
            </w:r>
            <w:r>
              <w:rPr>
                <w:rFonts w:ascii="Times New Roman" w:hAnsi="Times New Roman" w:cs="Times New Roman"/>
              </w:rPr>
              <w:t xml:space="preserve"> z dnia </w:t>
            </w:r>
            <w:r w:rsidR="00BA0245" w:rsidRPr="00A17C9A">
              <w:rPr>
                <w:rFonts w:ascii="Times New Roman" w:eastAsia="Calibri" w:hAnsi="Times New Roman" w:cs="Times New Roman"/>
              </w:rPr>
              <w:t>6 listopada 2013 r</w:t>
            </w:r>
            <w:r w:rsidR="00BA0245" w:rsidRPr="00960323">
              <w:rPr>
                <w:rFonts w:ascii="Times New Roman" w:eastAsia="Calibri" w:hAnsi="Times New Roman" w:cs="Times New Roman"/>
              </w:rPr>
              <w:t>.</w:t>
            </w:r>
            <w:r w:rsidR="00384B4B" w:rsidRPr="00384B4B">
              <w:rPr>
                <w:rFonts w:ascii="Times New Roman" w:hAnsi="Times New Roman" w:cs="Times New Roman"/>
              </w:rPr>
              <w:t xml:space="preserve"> w sprawie świadczeń gwarantowanych z zakresu ambulatoryjnej opieki specjalistycznej</w:t>
            </w:r>
            <w:r>
              <w:rPr>
                <w:rFonts w:ascii="Times New Roman" w:hAnsi="Times New Roman" w:cs="Times New Roman"/>
              </w:rPr>
              <w:t xml:space="preserve"> polegaj</w:t>
            </w:r>
            <w:r w:rsidR="00C75CC5">
              <w:rPr>
                <w:rFonts w:ascii="Times New Roman" w:hAnsi="Times New Roman" w:cs="Times New Roman"/>
              </w:rPr>
              <w:t>ących na</w:t>
            </w:r>
            <w:r w:rsidR="00384B4B" w:rsidRPr="00384B4B">
              <w:rPr>
                <w:rFonts w:ascii="Times New Roman" w:hAnsi="Times New Roman" w:cs="Times New Roman"/>
              </w:rPr>
              <w:t xml:space="preserve"> doda</w:t>
            </w:r>
            <w:r w:rsidR="00C75CC5">
              <w:rPr>
                <w:rFonts w:ascii="Times New Roman" w:hAnsi="Times New Roman" w:cs="Times New Roman"/>
              </w:rPr>
              <w:t>niu</w:t>
            </w:r>
            <w:r w:rsidR="00384B4B" w:rsidRPr="00384B4B">
              <w:rPr>
                <w:rFonts w:ascii="Times New Roman" w:hAnsi="Times New Roman" w:cs="Times New Roman"/>
              </w:rPr>
              <w:t xml:space="preserve">  trz</w:t>
            </w:r>
            <w:r w:rsidR="00C75CC5">
              <w:rPr>
                <w:rFonts w:ascii="Times New Roman" w:hAnsi="Times New Roman" w:cs="Times New Roman"/>
              </w:rPr>
              <w:t>ech</w:t>
            </w:r>
            <w:r w:rsidR="00384B4B" w:rsidRPr="00384B4B">
              <w:rPr>
                <w:rFonts w:ascii="Times New Roman" w:hAnsi="Times New Roman" w:cs="Times New Roman"/>
              </w:rPr>
              <w:t xml:space="preserve"> świadcze</w:t>
            </w:r>
            <w:r w:rsidR="00C75CC5">
              <w:rPr>
                <w:rFonts w:ascii="Times New Roman" w:hAnsi="Times New Roman" w:cs="Times New Roman"/>
              </w:rPr>
              <w:t>ń</w:t>
            </w:r>
            <w:r w:rsidR="00384B4B" w:rsidRPr="00384B4B">
              <w:rPr>
                <w:rFonts w:ascii="Times New Roman" w:hAnsi="Times New Roman" w:cs="Times New Roman"/>
              </w:rPr>
              <w:t>:</w:t>
            </w:r>
            <w:r w:rsidR="00384B4B" w:rsidRPr="00384B4B">
              <w:rPr>
                <w:rStyle w:val="pismamzZnak"/>
                <w:rFonts w:ascii="Times New Roman" w:hAnsi="Times New Roman"/>
              </w:rPr>
              <w:t xml:space="preserve"> </w:t>
            </w:r>
          </w:p>
          <w:p w14:paraId="3751A5E0" w14:textId="61D82248" w:rsidR="00384B4B" w:rsidRPr="00384B4B" w:rsidRDefault="003E359E" w:rsidP="00384B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o</w:t>
            </w:r>
            <w:r w:rsidR="00384B4B" w:rsidRPr="00384B4B">
              <w:rPr>
                <w:rFonts w:ascii="Times New Roman" w:hAnsi="Times New Roman" w:cs="Times New Roman"/>
                <w:lang w:eastAsia="pl-PL"/>
              </w:rPr>
              <w:t xml:space="preserve">pieka nad rodzinami wysokiego, </w:t>
            </w:r>
            <w:bookmarkStart w:id="2" w:name="_Hlk93349548"/>
            <w:r w:rsidR="00384B4B" w:rsidRPr="00384B4B">
              <w:rPr>
                <w:rFonts w:ascii="Times New Roman" w:hAnsi="Times New Roman" w:cs="Times New Roman"/>
                <w:lang w:eastAsia="pl-PL"/>
              </w:rPr>
              <w:t xml:space="preserve">dziedzicznie uwarunkowanego ryzyka zachorowania </w:t>
            </w:r>
            <w:bookmarkEnd w:id="2"/>
            <w:r w:rsidR="00384B4B" w:rsidRPr="00384B4B">
              <w:rPr>
                <w:rFonts w:ascii="Times New Roman" w:hAnsi="Times New Roman" w:cs="Times New Roman"/>
                <w:lang w:eastAsia="pl-PL"/>
              </w:rPr>
              <w:t>na raka piersi lub raka jajnika</w:t>
            </w:r>
            <w:r w:rsidR="008E6693">
              <w:rPr>
                <w:rFonts w:ascii="Times New Roman" w:hAnsi="Times New Roman" w:cs="Times New Roman"/>
                <w:lang w:eastAsia="pl-PL"/>
              </w:rPr>
              <w:t>;</w:t>
            </w:r>
            <w:r w:rsidR="00384B4B" w:rsidRPr="00384B4B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525544B0" w14:textId="3BA80B42" w:rsidR="00384B4B" w:rsidRPr="00384B4B" w:rsidRDefault="003E359E" w:rsidP="00384B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o</w:t>
            </w:r>
            <w:r w:rsidR="00384B4B" w:rsidRPr="00384B4B">
              <w:rPr>
                <w:rFonts w:ascii="Times New Roman" w:hAnsi="Times New Roman" w:cs="Times New Roman"/>
                <w:lang w:eastAsia="pl-PL"/>
              </w:rPr>
              <w:t>pieka nad rodzinami wysokiego, dziedzicznie uwarunkowanego ryzyka zachorowania na raka jelita grubego lub raka błony śluzowej trzonu macicy</w:t>
            </w:r>
            <w:r w:rsidR="008E6693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2C38E443" w14:textId="38C4BA6B" w:rsidR="00384B4B" w:rsidRPr="00384B4B" w:rsidRDefault="008818E1" w:rsidP="00384B4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pismamzZnak"/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o</w:t>
            </w:r>
            <w:r w:rsidR="00384B4B" w:rsidRPr="00384B4B">
              <w:rPr>
                <w:rFonts w:ascii="Times New Roman" w:hAnsi="Times New Roman" w:cs="Times New Roman"/>
                <w:lang w:eastAsia="pl-PL"/>
              </w:rPr>
              <w:t>pieka nad rodzinami wysokiego, dziedzicznie uwarunkowanego ryzyka zachorowania na siatkówczaka lub chorobę von Hippel–Lindau (VHL)</w:t>
            </w:r>
            <w:r w:rsidR="008E6693">
              <w:rPr>
                <w:rFonts w:ascii="Times New Roman" w:hAnsi="Times New Roman" w:cs="Times New Roman"/>
                <w:lang w:eastAsia="pl-PL"/>
              </w:rPr>
              <w:t>.</w:t>
            </w:r>
          </w:p>
          <w:p w14:paraId="583F3BB7" w14:textId="6DC55269" w:rsidR="00C75CC5" w:rsidRDefault="00384B4B" w:rsidP="00BA0245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B4B">
              <w:rPr>
                <w:rFonts w:ascii="Times New Roman" w:hAnsi="Times New Roman" w:cs="Times New Roman"/>
                <w:sz w:val="22"/>
                <w:szCs w:val="22"/>
              </w:rPr>
              <w:t xml:space="preserve">Każde z ww. świadczeń obejmuje dwa etapy: </w:t>
            </w:r>
            <w:r w:rsidR="00BA02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DF604DD" w14:textId="29CAB1EE" w:rsidR="00C75CC5" w:rsidRDefault="00384B4B" w:rsidP="00BA0245">
            <w:pPr>
              <w:pStyle w:val="ARTartustawynprozporzdzenia"/>
              <w:numPr>
                <w:ilvl w:val="0"/>
                <w:numId w:val="18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4B4B">
              <w:rPr>
                <w:rFonts w:ascii="Times New Roman" w:hAnsi="Times New Roman" w:cs="Times New Roman"/>
                <w:sz w:val="22"/>
                <w:szCs w:val="22"/>
              </w:rPr>
              <w:t>„Poradnictwo i badania genetyczne”</w:t>
            </w:r>
            <w:r w:rsidR="00C75CC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ADF2548" w14:textId="16E9AB29" w:rsidR="00BA0245" w:rsidRDefault="00384B4B" w:rsidP="00BA0245">
            <w:pPr>
              <w:pStyle w:val="ARTartustawynprozporzdzenia"/>
              <w:numPr>
                <w:ilvl w:val="0"/>
                <w:numId w:val="18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4B4B">
              <w:rPr>
                <w:rFonts w:ascii="Times New Roman" w:hAnsi="Times New Roman" w:cs="Times New Roman"/>
                <w:sz w:val="22"/>
                <w:szCs w:val="22"/>
              </w:rPr>
              <w:t xml:space="preserve">„Poradnictwo i badania diagnostyczne”. </w:t>
            </w:r>
          </w:p>
          <w:p w14:paraId="07E00240" w14:textId="0EFB5456" w:rsidR="000E58C0" w:rsidRPr="00340B28" w:rsidRDefault="00384B4B" w:rsidP="00384B4B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84B4B">
              <w:rPr>
                <w:rFonts w:ascii="Times New Roman" w:hAnsi="Times New Roman" w:cs="Times New Roman"/>
                <w:sz w:val="22"/>
                <w:szCs w:val="22"/>
              </w:rPr>
              <w:t xml:space="preserve">W ramach pierwszego etapu odbywa się identyfikacja osób, posiadających </w:t>
            </w:r>
            <w:r w:rsidRPr="00384B4B">
              <w:rPr>
                <w:rFonts w:ascii="Times New Roman" w:eastAsia="Calibri" w:hAnsi="Times New Roman" w:cs="Times New Roman"/>
                <w:sz w:val="22"/>
                <w:szCs w:val="22"/>
              </w:rPr>
              <w:t>wysokie</w:t>
            </w:r>
            <w:r w:rsidR="001F0E6F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384B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dziedzicznie uwarunkowane ryzyko zachorowania na wybrane nowotwory. Najważniejszą rolę odgrywa tu szczegółowy wywiad rodzinny. W przypadku zaistnienia wskazań medycznych, wykonywane są również badania genetyczne. W ramach drugiego etapu świadczeniobiorca </w:t>
            </w:r>
            <w:r w:rsidRPr="00384B4B">
              <w:rPr>
                <w:rFonts w:ascii="Times New Roman" w:hAnsi="Times New Roman" w:cs="Times New Roman"/>
                <w:sz w:val="22"/>
                <w:szCs w:val="22"/>
              </w:rPr>
              <w:t xml:space="preserve">posiadający </w:t>
            </w:r>
            <w:r w:rsidRPr="00384B4B">
              <w:rPr>
                <w:rFonts w:ascii="Times New Roman" w:eastAsia="Calibri" w:hAnsi="Times New Roman" w:cs="Times New Roman"/>
                <w:sz w:val="22"/>
                <w:szCs w:val="22"/>
              </w:rPr>
              <w:t>wysokie</w:t>
            </w:r>
            <w:r w:rsidR="001F0E6F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384B4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dziedzicznie uwarunkowane ryzyko zachorowania na wybrany nowotwór zostaje objęty specjalistycznym nadzorem, polegającym na systematycznym przeprowadzeniu badań diagnostycznych oraz konsultacji lekarskich.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auto"/>
          </w:tcPr>
          <w:p w14:paraId="361DA497" w14:textId="77777777" w:rsidR="00384B4B" w:rsidRDefault="00384B4B" w:rsidP="00384B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B4F">
              <w:rPr>
                <w:rFonts w:ascii="Times New Roman" w:eastAsia="Calibri" w:hAnsi="Times New Roman" w:cs="Times New Roman"/>
              </w:rPr>
              <w:t>Koncepcja </w:t>
            </w:r>
            <w:r>
              <w:rPr>
                <w:rFonts w:ascii="Times New Roman" w:eastAsia="Calibri" w:hAnsi="Times New Roman" w:cs="Times New Roman"/>
              </w:rPr>
              <w:t xml:space="preserve">modelu </w:t>
            </w:r>
            <w:r w:rsidRPr="00883559">
              <w:rPr>
                <w:rFonts w:ascii="Times New Roman" w:eastAsia="Calibri" w:hAnsi="Times New Roman" w:cs="Times New Roman"/>
              </w:rPr>
              <w:t>prewencji oraz wczesnego wykrywania wybranych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83559">
              <w:rPr>
                <w:rFonts w:ascii="Times New Roman" w:eastAsia="Calibri" w:hAnsi="Times New Roman" w:cs="Times New Roman"/>
              </w:rPr>
              <w:t>nowotworów w rodzinach wysokiego, dziedzicznie uwarunkowanego ryzyka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83559">
              <w:rPr>
                <w:rFonts w:ascii="Times New Roman" w:eastAsia="Calibri" w:hAnsi="Times New Roman" w:cs="Times New Roman"/>
              </w:rPr>
              <w:t xml:space="preserve">zachorowania na </w:t>
            </w:r>
            <w:r>
              <w:rPr>
                <w:rFonts w:ascii="Times New Roman" w:eastAsia="Calibri" w:hAnsi="Times New Roman" w:cs="Times New Roman"/>
              </w:rPr>
              <w:t xml:space="preserve">wybrane </w:t>
            </w:r>
            <w:r w:rsidRPr="00883559">
              <w:rPr>
                <w:rFonts w:ascii="Times New Roman" w:eastAsia="Calibri" w:hAnsi="Times New Roman" w:cs="Times New Roman"/>
              </w:rPr>
              <w:t xml:space="preserve">nowotwory złośliwe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C3057E">
              <w:rPr>
                <w:rFonts w:ascii="Times New Roman" w:eastAsia="Calibri" w:hAnsi="Times New Roman" w:cs="Times New Roman"/>
              </w:rPr>
              <w:t>tj. nowotwor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3057E">
              <w:rPr>
                <w:rFonts w:ascii="Times New Roman" w:eastAsia="Calibri" w:hAnsi="Times New Roman" w:cs="Times New Roman"/>
              </w:rPr>
              <w:t xml:space="preserve"> piersi, nowotwor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3057E">
              <w:rPr>
                <w:rFonts w:ascii="Times New Roman" w:eastAsia="Calibri" w:hAnsi="Times New Roman" w:cs="Times New Roman"/>
              </w:rPr>
              <w:t xml:space="preserve"> jajnika, nowotwor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3057E">
              <w:rPr>
                <w:rFonts w:ascii="Times New Roman" w:eastAsia="Calibri" w:hAnsi="Times New Roman" w:cs="Times New Roman"/>
              </w:rPr>
              <w:t xml:space="preserve"> jelita </w:t>
            </w:r>
            <w:r w:rsidRPr="00561600">
              <w:rPr>
                <w:rFonts w:ascii="Times New Roman" w:eastAsia="Calibri" w:hAnsi="Times New Roman" w:cs="Times New Roman"/>
              </w:rPr>
              <w:t>grubego, nowotwory</w:t>
            </w:r>
            <w:r w:rsidRPr="005D4E8B">
              <w:rPr>
                <w:rFonts w:ascii="Times New Roman" w:eastAsia="Calibri" w:hAnsi="Times New Roman" w:cs="Times New Roman"/>
              </w:rPr>
              <w:t xml:space="preserve"> trzonu macicy, siatkówczaka</w:t>
            </w:r>
            <w:r w:rsidRPr="00561600">
              <w:rPr>
                <w:rFonts w:ascii="Times New Roman" w:eastAsia="Calibri" w:hAnsi="Times New Roman" w:cs="Times New Roman"/>
              </w:rPr>
              <w:t>, choroby</w:t>
            </w:r>
            <w:r w:rsidRPr="005D4E8B">
              <w:rPr>
                <w:rFonts w:ascii="Times New Roman" w:eastAsia="Calibri" w:hAnsi="Times New Roman" w:cs="Times New Roman"/>
              </w:rPr>
              <w:t xml:space="preserve"> von Hippel-</w:t>
            </w:r>
            <w:r w:rsidRPr="00561600">
              <w:rPr>
                <w:rFonts w:ascii="Times New Roman" w:eastAsia="Calibri" w:hAnsi="Times New Roman" w:cs="Times New Roman"/>
              </w:rPr>
              <w:t xml:space="preserve">Lindau) </w:t>
            </w:r>
            <w:r w:rsidRPr="00283B4F">
              <w:rPr>
                <w:rFonts w:ascii="Times New Roman" w:eastAsia="Calibri" w:hAnsi="Times New Roman" w:cs="Times New Roman"/>
              </w:rPr>
              <w:t>funkcjonuje lub jest wdrażana w wielu krajach członkowskich OECD/UE. </w:t>
            </w:r>
            <w:r w:rsidRPr="005D4E8B">
              <w:rPr>
                <w:rFonts w:ascii="Times New Roman" w:eastAsia="Calibri" w:hAnsi="Times New Roman" w:cs="Times New Roman"/>
              </w:rPr>
              <w:t xml:space="preserve">Ze względu na różnice w organizacji publicznych systemów ochrony zdrowia w większości krajów trudno jest wskazać jednolity sposób rozwiązywania ww. problemu. </w:t>
            </w:r>
          </w:p>
          <w:p w14:paraId="2A400375" w14:textId="6E3073BC" w:rsidR="00384B4B" w:rsidRDefault="00384B4B" w:rsidP="00384B4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B4F">
              <w:rPr>
                <w:rFonts w:ascii="Times New Roman" w:eastAsia="Calibri" w:hAnsi="Times New Roman" w:cs="Times New Roman"/>
              </w:rPr>
              <w:t xml:space="preserve">W </w:t>
            </w:r>
            <w:r>
              <w:rPr>
                <w:rFonts w:ascii="Times New Roman" w:eastAsia="Calibri" w:hAnsi="Times New Roman" w:cs="Times New Roman"/>
              </w:rPr>
              <w:t xml:space="preserve">Niemczach kompleksowa opieka </w:t>
            </w:r>
            <w:r w:rsidR="008818E1">
              <w:rPr>
                <w:rFonts w:ascii="Times New Roman" w:eastAsia="Calibri" w:hAnsi="Times New Roman" w:cs="Times New Roman"/>
              </w:rPr>
              <w:t xml:space="preserve">jest </w:t>
            </w:r>
            <w:r>
              <w:rPr>
                <w:rFonts w:ascii="Times New Roman" w:eastAsia="Calibri" w:hAnsi="Times New Roman" w:cs="Times New Roman"/>
              </w:rPr>
              <w:t>gwarantowana w ramach funkcjonujących konsorcjów zrzeszających</w:t>
            </w:r>
            <w:r w:rsidRPr="000E7523">
              <w:rPr>
                <w:rFonts w:ascii="Times New Roman" w:eastAsia="Calibri" w:hAnsi="Times New Roman" w:cs="Times New Roman"/>
              </w:rPr>
              <w:t xml:space="preserve"> ośrodk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0E7523">
              <w:rPr>
                <w:rFonts w:ascii="Times New Roman" w:eastAsia="Calibri" w:hAnsi="Times New Roman" w:cs="Times New Roman"/>
              </w:rPr>
              <w:t xml:space="preserve"> uniwersytecki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0E7523">
              <w:rPr>
                <w:rFonts w:ascii="Times New Roman" w:eastAsia="Calibri" w:hAnsi="Times New Roman" w:cs="Times New Roman"/>
              </w:rPr>
              <w:t>, któr</w:t>
            </w:r>
            <w:r>
              <w:rPr>
                <w:rFonts w:ascii="Times New Roman" w:eastAsia="Calibri" w:hAnsi="Times New Roman" w:cs="Times New Roman"/>
              </w:rPr>
              <w:t xml:space="preserve">ych </w:t>
            </w:r>
            <w:r w:rsidRPr="000E7523">
              <w:rPr>
                <w:rFonts w:ascii="Times New Roman" w:eastAsia="Calibri" w:hAnsi="Times New Roman" w:cs="Times New Roman"/>
              </w:rPr>
              <w:t xml:space="preserve">celem jest zapewnienie </w:t>
            </w:r>
            <w:r w:rsidRPr="004A15F6">
              <w:rPr>
                <w:rFonts w:ascii="Times New Roman" w:eastAsia="Calibri" w:hAnsi="Times New Roman" w:cs="Times New Roman"/>
              </w:rPr>
              <w:t xml:space="preserve">poradnictwa dla rodzin wysokiego ryzyka, </w:t>
            </w:r>
            <w:r>
              <w:rPr>
                <w:rFonts w:ascii="Times New Roman" w:eastAsia="Calibri" w:hAnsi="Times New Roman" w:cs="Times New Roman"/>
              </w:rPr>
              <w:t>badań</w:t>
            </w:r>
            <w:r w:rsidRPr="004A15F6">
              <w:rPr>
                <w:rFonts w:ascii="Times New Roman" w:eastAsia="Calibri" w:hAnsi="Times New Roman" w:cs="Times New Roman"/>
              </w:rPr>
              <w:t xml:space="preserve"> genetyczn</w:t>
            </w:r>
            <w:r>
              <w:rPr>
                <w:rFonts w:ascii="Times New Roman" w:eastAsia="Calibri" w:hAnsi="Times New Roman" w:cs="Times New Roman"/>
              </w:rPr>
              <w:t>ych</w:t>
            </w:r>
            <w:r w:rsidRPr="004A15F6">
              <w:rPr>
                <w:rFonts w:ascii="Times New Roman" w:eastAsia="Calibri" w:hAnsi="Times New Roman" w:cs="Times New Roman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procedur mających na celu profilaktykę i wczesne wykrywanie</w:t>
            </w:r>
            <w:r w:rsidRPr="000E752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nowotworów.</w:t>
            </w:r>
          </w:p>
          <w:p w14:paraId="6B01D4AB" w14:textId="558063EB" w:rsidR="00C97CFE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takich krajach jak </w:t>
            </w:r>
            <w:r w:rsidRPr="00283B4F">
              <w:rPr>
                <w:rFonts w:ascii="Times New Roman" w:eastAsia="Calibri" w:hAnsi="Times New Roman" w:cs="Times New Roman"/>
              </w:rPr>
              <w:t>Wielka Brytania, Szwecja, Holandia, Norwegia, Francja </w:t>
            </w:r>
            <w:r>
              <w:rPr>
                <w:rFonts w:ascii="Times New Roman" w:eastAsia="Calibri" w:hAnsi="Times New Roman" w:cs="Times New Roman"/>
              </w:rPr>
              <w:t xml:space="preserve">organizowane są programy </w:t>
            </w:r>
            <w:r w:rsidRPr="00224C8A">
              <w:rPr>
                <w:rFonts w:ascii="Times New Roman" w:eastAsia="Calibri" w:hAnsi="Times New Roman" w:cs="Times New Roman"/>
              </w:rPr>
              <w:t>dla osób z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224C8A">
              <w:rPr>
                <w:rFonts w:ascii="Times New Roman" w:eastAsia="Calibri" w:hAnsi="Times New Roman" w:cs="Times New Roman"/>
              </w:rPr>
              <w:t>obciążeniem rodzinnym zachorowania na raka piersi, raka jajnika</w:t>
            </w:r>
            <w:r w:rsidR="00C75CC5">
              <w:rPr>
                <w:rFonts w:ascii="Times New Roman" w:eastAsia="Calibri" w:hAnsi="Times New Roman" w:cs="Times New Roman"/>
              </w:rPr>
              <w:t>,</w:t>
            </w:r>
            <w:r w:rsidRPr="00224C8A">
              <w:rPr>
                <w:rFonts w:ascii="Times New Roman" w:eastAsia="Calibri" w:hAnsi="Times New Roman" w:cs="Times New Roman"/>
              </w:rPr>
              <w:t xml:space="preserve"> a także raka jelita grubego lub trzonu macicy. </w:t>
            </w:r>
            <w:r>
              <w:rPr>
                <w:rFonts w:ascii="Times New Roman" w:eastAsia="Calibri" w:hAnsi="Times New Roman" w:cs="Times New Roman"/>
              </w:rPr>
              <w:t>W ramach programów, oferowane są zróżnicowane zakresy opieki profilaktycznej i nadzór nad osobami z obciążeniem rodzinny</w:t>
            </w:r>
            <w:r w:rsidR="00C75CC5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zachorowania na nowotwory obejmujące poradnictwo genetyczne, badania genetyczne oraz badania diagnostyczne wykonywane z określoną częstotliwością w ramach profilaktyki i wczesnego wykrywania zmian nowotworowych.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64AAF290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3893CF9A" w14:textId="77777777" w:rsidR="00384B4B" w:rsidRPr="002E15F0" w:rsidRDefault="00384B4B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5F0">
              <w:rPr>
                <w:rFonts w:ascii="Times New Roman" w:eastAsia="Times New Roman" w:hAnsi="Times New Roman" w:cs="Times New Roman"/>
                <w:lang w:eastAsia="pl-PL"/>
              </w:rPr>
              <w:t>33 tys. (w ramach etapu „Poradnictwo i badania genetyczne”)</w:t>
            </w:r>
          </w:p>
          <w:p w14:paraId="510558C5" w14:textId="19902296" w:rsidR="00BD0D8F" w:rsidRPr="002F211B" w:rsidRDefault="00384B4B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E15F0">
              <w:rPr>
                <w:rFonts w:ascii="Times New Roman" w:eastAsia="Times New Roman" w:hAnsi="Times New Roman" w:cs="Times New Roman"/>
                <w:lang w:eastAsia="pl-PL"/>
              </w:rPr>
              <w:t xml:space="preserve">26 tyś (w ramach etapu „Poradnictwo i badania diagnostyczne”)  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70E422A6" w:rsidR="00BD0D8F" w:rsidRPr="002F211B" w:rsidRDefault="00384B4B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2E15F0">
              <w:rPr>
                <w:rFonts w:ascii="Times New Roman" w:eastAsia="Calibri" w:hAnsi="Times New Roman" w:cs="Times New Roman"/>
                <w:spacing w:val="-2"/>
              </w:rPr>
              <w:t xml:space="preserve">Agencja Oceny Technologii Medycznych i Taryfikacji (AOTMiT) na podstawie danych Ministerstwa Zdrowia (MZ) i Krajowego Rejestru Nowotworów (KRN)  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7F7F39A1" w:rsidR="00BD0D8F" w:rsidRPr="002F211B" w:rsidRDefault="00384B4B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62AF5822">
              <w:rPr>
                <w:rFonts w:ascii="Times New Roman" w:eastAsia="Times New Roman" w:hAnsi="Times New Roman" w:cs="Times New Roman"/>
                <w:lang w:eastAsia="pl-PL"/>
              </w:rPr>
              <w:t>apobieganie rozwojowi nowotworów złośliwych oraz zwiększenie szans na wykrycie nowotworu we wczesnym stadium choroby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D0D8F" w:rsidRPr="001E68F7" w14:paraId="3F313EA5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0D285E7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7120DFBB" w14:textId="14846E06" w:rsidR="00BD0D8F" w:rsidRPr="002F211B" w:rsidRDefault="00384B4B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05162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2495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786EA6A2" w:rsidR="00BD0D8F" w:rsidRPr="002F211B" w:rsidRDefault="00384B4B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AOTMiT na podstawie danych MZ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07DB9FE9" w:rsidR="00BD0D8F" w:rsidRPr="002F211B" w:rsidRDefault="00384B4B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784FAB">
              <w:rPr>
                <w:rFonts w:ascii="Times New Roman" w:eastAsia="Times New Roman" w:hAnsi="Times New Roman" w:cs="Times New Roman"/>
                <w:lang w:eastAsia="pl-PL"/>
              </w:rPr>
              <w:t>Optymalizacja procesów diagnostycznych</w:t>
            </w:r>
            <w:r w:rsidRPr="00784FA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33B24EA9" w14:textId="27F6A08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22DDAC5A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Ustawa </w:t>
            </w:r>
            <w:r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23921C8A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finansowych.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8"/>
            <w:shd w:val="clear" w:color="auto" w:fill="FFFFFF"/>
          </w:tcPr>
          <w:p w14:paraId="02911A4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pre-konsultacji. </w:t>
            </w:r>
          </w:p>
          <w:p w14:paraId="13A91BF6" w14:textId="398609EF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zosta</w:t>
            </w:r>
            <w:r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przeprowadzone</w:t>
            </w:r>
            <w:r w:rsidR="00764F8D">
              <w:rPr>
                <w:rFonts w:ascii="Times New Roman" w:hAnsi="Times New Roman"/>
                <w:spacing w:val="-2"/>
              </w:rPr>
              <w:t xml:space="preserve"> z wyznaczonym</w:t>
            </w:r>
            <w:r w:rsidRPr="001E68F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21</w:t>
            </w:r>
            <w:r w:rsidR="008818E1">
              <w:rPr>
                <w:rFonts w:ascii="Times New Roman" w:hAnsi="Times New Roman"/>
                <w:spacing w:val="-2"/>
              </w:rPr>
              <w:t>-</w:t>
            </w:r>
            <w:r w:rsidRPr="001E68F7">
              <w:rPr>
                <w:rFonts w:ascii="Times New Roman" w:hAnsi="Times New Roman"/>
                <w:spacing w:val="-2"/>
              </w:rPr>
              <w:t>dni</w:t>
            </w:r>
            <w:r w:rsidR="00764F8D">
              <w:rPr>
                <w:rFonts w:ascii="Times New Roman" w:hAnsi="Times New Roman"/>
                <w:spacing w:val="-2"/>
              </w:rPr>
              <w:t>owym termin</w:t>
            </w:r>
            <w:r w:rsidR="00C75CC5">
              <w:rPr>
                <w:rFonts w:ascii="Times New Roman" w:hAnsi="Times New Roman"/>
                <w:spacing w:val="-2"/>
              </w:rPr>
              <w:t>em</w:t>
            </w:r>
            <w:r w:rsidR="00764F8D">
              <w:rPr>
                <w:rFonts w:ascii="Times New Roman" w:hAnsi="Times New Roman"/>
                <w:spacing w:val="-2"/>
              </w:rPr>
              <w:t xml:space="preserve"> do zgłaszania uwag i propozycji</w:t>
            </w:r>
            <w:r w:rsidRPr="001E68F7">
              <w:rPr>
                <w:rFonts w:ascii="Times New Roman" w:hAnsi="Times New Roman"/>
                <w:spacing w:val="-2"/>
              </w:rPr>
              <w:t xml:space="preserve">.  </w:t>
            </w:r>
          </w:p>
          <w:p w14:paraId="59A278DF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903DEF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</w:t>
            </w:r>
            <w:r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przesłany do zaopiniowania przez następujące podmioty:</w:t>
            </w:r>
          </w:p>
          <w:p w14:paraId="348CE53F" w14:textId="3C9E90B1" w:rsidR="00384B4B" w:rsidRPr="00D42239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42239">
              <w:rPr>
                <w:rFonts w:ascii="Times New Roman" w:hAnsi="Times New Roman"/>
                <w:shd w:val="clear" w:color="auto" w:fill="FFFFFF"/>
              </w:rPr>
              <w:t>konsultan</w:t>
            </w:r>
            <w:r w:rsidR="008818E1">
              <w:rPr>
                <w:rFonts w:ascii="Times New Roman" w:hAnsi="Times New Roman"/>
                <w:shd w:val="clear" w:color="auto" w:fill="FFFFFF"/>
              </w:rPr>
              <w:t>tów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krajow</w:t>
            </w:r>
            <w:r w:rsidR="008818E1">
              <w:rPr>
                <w:rFonts w:ascii="Times New Roman" w:hAnsi="Times New Roman"/>
                <w:shd w:val="clear" w:color="auto" w:fill="FFFFFF"/>
              </w:rPr>
              <w:t>ych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w wybranych dziedzinach medycyny oraz konsultan</w:t>
            </w:r>
            <w:r w:rsidR="001915D4">
              <w:rPr>
                <w:rFonts w:ascii="Times New Roman" w:hAnsi="Times New Roman"/>
                <w:shd w:val="clear" w:color="auto" w:fill="FFFFFF"/>
              </w:rPr>
              <w:t>tów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krajow</w:t>
            </w:r>
            <w:r w:rsidR="001915D4">
              <w:rPr>
                <w:rFonts w:ascii="Times New Roman" w:hAnsi="Times New Roman"/>
                <w:shd w:val="clear" w:color="auto" w:fill="FFFFFF"/>
              </w:rPr>
              <w:t>ych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w wybranych dziedzinach pielęgniarstwa (</w:t>
            </w:r>
            <w:r w:rsidRPr="00D42239">
              <w:rPr>
                <w:rFonts w:ascii="Times New Roman" w:hAnsi="Times New Roman"/>
                <w:spacing w:val="-2"/>
              </w:rPr>
              <w:t>Konsultant Krajowy w dziedzinie chirurgii ogólnej, Konsultant Krajowy w dziedzinie chirurgii onkologicznej,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diagnostyki laboratoryjnej,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endokrynologii,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gastroenterologii,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gastroenterologii dziecięcej,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genetyki klinicznej,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ginekologii onkologicznej,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hematologii, </w:t>
            </w:r>
            <w:r w:rsidRPr="00D42239">
              <w:rPr>
                <w:rFonts w:ascii="Times New Roman" w:hAnsi="Times New Roman"/>
                <w:spacing w:val="-2"/>
              </w:rPr>
              <w:t xml:space="preserve">Konsultant Krajowy w dziedzinie immunologii klinicznej,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 medycyny nuklearnej,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okulistyki,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onkologii i hematologii dziecięcej, </w:t>
            </w:r>
            <w:r w:rsidRPr="00D42239">
              <w:rPr>
                <w:rFonts w:ascii="Times New Roman" w:hAnsi="Times New Roman"/>
                <w:spacing w:val="-2"/>
              </w:rPr>
              <w:t xml:space="preserve">Konsultant Krajowy w dziedzinie onkologii klinicznej,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patomorfologii, </w:t>
            </w:r>
            <w:r w:rsidRPr="00D42239">
              <w:rPr>
                <w:rFonts w:ascii="Times New Roman" w:hAnsi="Times New Roman"/>
                <w:spacing w:val="-2"/>
              </w:rPr>
              <w:t>Konsultant Krajowy w dziedzinie pielęgniarstwa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D42239">
              <w:rPr>
                <w:rFonts w:ascii="Times New Roman" w:hAnsi="Times New Roman"/>
                <w:spacing w:val="-2"/>
              </w:rPr>
              <w:t>Konsultant Krajowy w dziedzinie pielęgniarstwa chirurgicznego i operacyjnego, Konsultant Krajowy w dziedzinie pielęgniarstwa onkologicznego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294116">
              <w:rPr>
                <w:rFonts w:ascii="Times New Roman" w:hAnsi="Times New Roman"/>
                <w:spacing w:val="-2"/>
              </w:rPr>
              <w:t xml:space="preserve"> 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 położnictwa i ginekologii,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psychiatrii,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radiologii i diagnostyki obrazowej,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urologii</w:t>
            </w:r>
            <w:r w:rsidRPr="00D42239">
              <w:rPr>
                <w:rFonts w:ascii="Times New Roman" w:hAnsi="Times New Roman"/>
                <w:spacing w:val="-2"/>
              </w:rPr>
              <w:t>);</w:t>
            </w:r>
          </w:p>
          <w:p w14:paraId="1C437AFB" w14:textId="77777777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samorządy zawodowe (Naczelna Izba Lekarska, Naczelna Izba Aptekarska, Krajowa Izba Diagnostów Laboratoryjnych, Naczelna Izba Pielęgniarek i Położnych, Krajowa Izba Fizjoterapeutów);</w:t>
            </w:r>
          </w:p>
          <w:p w14:paraId="63D1A189" w14:textId="77777777" w:rsidR="00384B4B" w:rsidRPr="00306CB4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związki zawodowe, reprezentatywne organizacje pracodawców oraz stowarzyszenia reprezentujące zawody medyczne (Ogólnopolskie Porozumienie Związków Zawodowych, Ogólnopolski Związek Zawodowy Lekarzy, Ogólnopolski Związek Zawodowy Pielęgniarek i Położnych, Forum Związków Zawodowych, Związek Przedsiębiorców i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306CB4">
              <w:rPr>
                <w:rFonts w:ascii="Times New Roman" w:hAnsi="Times New Roman"/>
                <w:shd w:val="clear" w:color="auto" w:fill="FFFFFF"/>
              </w:rPr>
              <w:t>Pracodawców, Związek Rzemiosła Polskiego, Krajowy Sekretariat Ochrony Zdrowia NSZZ „Solidarność 80”, Sekretariat Ochrony Zdrowia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06CB4">
              <w:rPr>
                <w:rFonts w:ascii="Times New Roman" w:hAnsi="Times New Roman"/>
                <w:shd w:val="clear" w:color="auto" w:fill="FFFFFF"/>
              </w:rPr>
              <w:t>NSZZ Solidarność</w:t>
            </w:r>
            <w:r w:rsidRPr="00306CB4">
              <w:rPr>
                <w:rFonts w:ascii="Times New Roman" w:eastAsia="Times New Roman" w:hAnsi="Times New Roman"/>
                <w:bCs/>
                <w:lang w:eastAsia="pl-PL"/>
              </w:rPr>
              <w:t>, Federacja Przedsiębiorców Polskich,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Związek Pracodawców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Business Centre Club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, Konfederacja Lewiatan, Pracodawcy RP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C0D8E">
              <w:rPr>
                <w:rFonts w:ascii="Times New Roman" w:hAnsi="Times New Roman" w:cs="Times New Roman"/>
                <w:color w:val="000000"/>
                <w:spacing w:val="-2"/>
              </w:rPr>
              <w:t>Stowarzyszenie Menedżerów Opieki Zdrowotne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j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14:paraId="7C2EE101" w14:textId="77777777" w:rsidR="00384B4B" w:rsidRPr="00CC0D8E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>stowarzyszenia w ochronie zdrowia, w tym działające na rzecz pacjentów (Stowarzyszenie Primum Non Nocere,  Federacja Pacjentów Polskich, Instytut Praw Pacjenta i Edukacji Zdrowotnej, Obywatelskie Stowarzyszenie – Dla Dobra Pacjenta);</w:t>
            </w:r>
          </w:p>
          <w:p w14:paraId="2D7AD435" w14:textId="77777777" w:rsidR="00384B4B" w:rsidRPr="009776A1" w:rsidRDefault="00384B4B" w:rsidP="00384B4B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towarzystwa </w:t>
            </w:r>
            <w:r w:rsidRPr="009776A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naukowe (Polskie Towarzystwo Onkologiczne, Polskie Towarzystwo Onkologii Klinicznej, </w:t>
            </w:r>
            <w:r w:rsidRPr="009776A1">
              <w:rPr>
                <w:rFonts w:ascii="Times New Roman" w:hAnsi="Times New Roman"/>
                <w:spacing w:val="-2"/>
                <w:sz w:val="22"/>
                <w:szCs w:val="22"/>
              </w:rPr>
              <w:t>Polskie Towarzystwo Ginekologii Onkologicznej, Polskie Towarzystwo Chirurgii Onkologicznej, Polskie Towarzystwo Genetyki Człowieka, Polskie Towarzystwo Diagnostyki Laboratoryjnej</w:t>
            </w:r>
            <w:r w:rsidRPr="009776A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);</w:t>
            </w:r>
          </w:p>
          <w:p w14:paraId="5C2BBE02" w14:textId="092740D6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instytuty badawcze (</w:t>
            </w:r>
            <w:r w:rsidRPr="00F656A4">
              <w:rPr>
                <w:rFonts w:ascii="Times New Roman" w:hAnsi="Times New Roman"/>
                <w:shd w:val="clear" w:color="auto" w:fill="FFFFFF"/>
              </w:rPr>
              <w:t>Narodowy Instytut Onkologii im. Marii Skłodowskiej-Curie – Państwowy Instytut Badawczy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Narodowy Instytut Zdrowia Publicznego </w:t>
            </w:r>
            <w:r w:rsidR="0072495E" w:rsidRPr="00CD494A">
              <w:rPr>
                <w:rFonts w:ascii="Times New Roman" w:hAnsi="Times New Roman"/>
                <w:shd w:val="clear" w:color="auto" w:fill="FFFFFF"/>
              </w:rPr>
              <w:t xml:space="preserve">Państwowy Zakład Higieny </w:t>
            </w:r>
            <w:r w:rsidRPr="00CD494A">
              <w:rPr>
                <w:rFonts w:ascii="Times New Roman" w:hAnsi="Times New Roman"/>
                <w:shd w:val="clear" w:color="auto" w:fill="FFFFFF"/>
              </w:rPr>
              <w:t>–</w:t>
            </w:r>
            <w:r w:rsidR="007249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2495E" w:rsidRPr="00F656A4">
              <w:rPr>
                <w:rFonts w:ascii="Times New Roman" w:hAnsi="Times New Roman"/>
                <w:shd w:val="clear" w:color="auto" w:fill="FFFFFF"/>
              </w:rPr>
              <w:t>Państwowy Instytut Badawczy</w:t>
            </w:r>
            <w:r w:rsidRPr="00CD494A">
              <w:rPr>
                <w:rFonts w:ascii="Times New Roman" w:hAnsi="Times New Roman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oraz Specjalistyczne Centrum Medyczne im Jana Pawła II S.A. w Polanicy-Zdroju</w:t>
            </w:r>
            <w:r w:rsidRPr="00CD494A">
              <w:rPr>
                <w:rFonts w:ascii="Times New Roman" w:hAnsi="Times New Roman"/>
                <w:shd w:val="clear" w:color="auto" w:fill="FFFFFF"/>
              </w:rPr>
              <w:t>;</w:t>
            </w:r>
            <w:r w:rsidR="0072495E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15253AE1" w14:textId="77777777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 xml:space="preserve">Radę Działalności Pożytku Publicznego; </w:t>
            </w:r>
          </w:p>
          <w:p w14:paraId="50508FA5" w14:textId="2A21B397" w:rsidR="00384B4B" w:rsidRPr="00394CC6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 w:rsidR="008818E1">
              <w:rPr>
                <w:rFonts w:ascii="Times New Roman" w:eastAsia="Times New Roman" w:hAnsi="Times New Roman"/>
                <w:bCs/>
                <w:lang w:eastAsia="pl-PL"/>
              </w:rPr>
              <w:t>ę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ą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Polskiej, Narodow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y 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Fundusz Zdrowia, 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Agencji Oceny Technologii Medycznych i Taryfikacji, 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Produktów Biobójczych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Rzecznika Praw Pacjenta, </w:t>
            </w:r>
            <w:r w:rsidRPr="00394CC6">
              <w:rPr>
                <w:rFonts w:ascii="Times New Roman" w:hAnsi="Times New Roman" w:cs="Times New Roman"/>
              </w:rPr>
              <w:t>Prezesa Urzędu Ochrony Danych Osobowych oraz Prezesa Urzędu Ochrony Konkurencji i Konsumentów</w:t>
            </w:r>
            <w:r w:rsidRPr="00BA02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DA398D7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82B3929" w14:textId="4B562E6A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B873A0"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764F8D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64F8D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3D3CB78E" w:rsidR="00BD0D8F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pacing w:val="-2"/>
              </w:rPr>
              <w:t>Wyniki konsultacji publicznych i opiniowania zosta</w:t>
            </w:r>
            <w:r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omówione w raporcie, stanowiącym załącznik do niniejszej Oceny Skutków Regulacji.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647" w:type="dxa"/>
            <w:gridSpan w:val="25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2F211B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20EAC27D" w14:textId="39CC2813" w:rsidR="00BD0D8F" w:rsidRPr="001E68F7" w:rsidRDefault="00BD0D8F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Projektowana zmiana nie będzie miała wpływu na budżet państwa i budżety jednostek samorządu terytorialnego. </w:t>
            </w:r>
            <w:r>
              <w:rPr>
                <w:rFonts w:ascii="Times New Roman" w:hAnsi="Times New Roman"/>
                <w:color w:val="000000"/>
              </w:rPr>
              <w:t xml:space="preserve">Finansowanie odbędzie się w ramach wysokości kosztów określonych w planie finansowym Narodowego Funduszu Zdrowia bez konieczności ich zwiększania. 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7"/>
            <w:shd w:val="clear" w:color="auto" w:fill="FFFFFF"/>
          </w:tcPr>
          <w:p w14:paraId="29F6A47F" w14:textId="1D371EF3" w:rsidR="00BD0D8F" w:rsidRPr="00975012" w:rsidRDefault="00384B4B" w:rsidP="00BD0D8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Szacunkowy k</w:t>
            </w:r>
            <w:r w:rsidRPr="00403D22">
              <w:rPr>
                <w:rFonts w:ascii="Times New Roman" w:hAnsi="Times New Roman" w:cs="Times New Roman"/>
              </w:rPr>
              <w:t xml:space="preserve">oszt wprowadzenia </w:t>
            </w:r>
            <w:r>
              <w:rPr>
                <w:rFonts w:ascii="Times New Roman" w:hAnsi="Times New Roman" w:cs="Times New Roman"/>
              </w:rPr>
              <w:t>nowych świadczeń</w:t>
            </w:r>
            <w:r w:rsidRPr="00403D22">
              <w:rPr>
                <w:rFonts w:ascii="Times New Roman" w:hAnsi="Times New Roman" w:cs="Times New Roman"/>
              </w:rPr>
              <w:t xml:space="preserve"> </w:t>
            </w:r>
            <w:r w:rsidR="00975012">
              <w:rPr>
                <w:rFonts w:ascii="Times New Roman" w:hAnsi="Times New Roman" w:cs="Times New Roman"/>
              </w:rPr>
              <w:t xml:space="preserve">w 2022 r. </w:t>
            </w:r>
            <w:r w:rsidR="001F0E6F">
              <w:rPr>
                <w:rFonts w:ascii="Times New Roman" w:hAnsi="Times New Roman" w:cs="Times New Roman"/>
              </w:rPr>
              <w:t xml:space="preserve">(od 1 lipca 2022 r.) </w:t>
            </w:r>
            <w:r w:rsidRPr="00403D22">
              <w:rPr>
                <w:rFonts w:ascii="Times New Roman" w:hAnsi="Times New Roman" w:cs="Times New Roman"/>
              </w:rPr>
              <w:t>wyniesie około</w:t>
            </w:r>
            <w:r w:rsidR="00975012">
              <w:rPr>
                <w:rFonts w:ascii="Times New Roman" w:hAnsi="Times New Roman" w:cs="Times New Roman"/>
              </w:rPr>
              <w:t xml:space="preserve"> 54,5</w:t>
            </w:r>
            <w:r w:rsidRPr="00403D22">
              <w:rPr>
                <w:rFonts w:ascii="Times New Roman" w:eastAsia="Times New Roman" w:hAnsi="Times New Roman" w:cs="Times New Roman"/>
                <w:lang w:eastAsia="pl-PL"/>
              </w:rPr>
              <w:t xml:space="preserve"> mln zł.</w:t>
            </w:r>
            <w:r w:rsidRPr="00403D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03D22">
              <w:rPr>
                <w:rFonts w:ascii="Times New Roman" w:hAnsi="Times New Roman" w:cs="Times New Roman"/>
              </w:rPr>
              <w:t xml:space="preserve">Wyliczenie zostało oparte o dane </w:t>
            </w:r>
            <w:r w:rsidR="00975012">
              <w:rPr>
                <w:rFonts w:ascii="Times New Roman" w:hAnsi="Times New Roman" w:cs="Times New Roman"/>
              </w:rPr>
              <w:t xml:space="preserve">uzyskane od </w:t>
            </w:r>
            <w:r w:rsidR="00975012" w:rsidRPr="00403D22">
              <w:rPr>
                <w:rFonts w:ascii="Times New Roman" w:hAnsi="Times New Roman" w:cs="Times New Roman"/>
              </w:rPr>
              <w:t>AOTMiT</w:t>
            </w:r>
            <w:r w:rsidR="0097501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8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3206F497" w14:textId="1D631C48" w:rsidR="00BD0D8F" w:rsidRPr="00D527A0" w:rsidRDefault="00384B4B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Przedmiotowe zmiany</w:t>
            </w:r>
            <w:r w:rsidRPr="009635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pozytywnie wpłyną na zdrowie świadczeniobiorców poprzez zapobieganie lub w</w:t>
            </w:r>
            <w:r w:rsidRPr="00883559">
              <w:rPr>
                <w:rFonts w:ascii="Times New Roman" w:eastAsia="Calibri" w:hAnsi="Times New Roman" w:cs="Times New Roman"/>
              </w:rPr>
              <w:t>czesne wykrywani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8835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dziedzicznych </w:t>
            </w:r>
            <w:r w:rsidRPr="00883559">
              <w:rPr>
                <w:rFonts w:ascii="Times New Roman" w:eastAsia="Calibri" w:hAnsi="Times New Roman" w:cs="Times New Roman"/>
              </w:rPr>
              <w:t>nowotworów złośliwych</w:t>
            </w:r>
            <w:r>
              <w:t>.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78F721D0" w14:textId="1B24D54A" w:rsidR="00BD0D8F" w:rsidRPr="00D527A0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Przedmiotowa regulacja zapewni osobom niepełnosprawnym i osobom starszym, na zasadach identycznych jak w przypadku pozostałych obywateli, dostęp do ww. świadczeń. 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20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8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8"/>
            <w:shd w:val="clear" w:color="auto" w:fill="FFFFFF"/>
          </w:tcPr>
          <w:p w14:paraId="6798F377" w14:textId="4B830490" w:rsidR="00B46A52" w:rsidRPr="001E68F7" w:rsidRDefault="00B46A52" w:rsidP="00B46A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8"/>
            <w:shd w:val="clear" w:color="auto" w:fill="auto"/>
          </w:tcPr>
          <w:p w14:paraId="0B076A79" w14:textId="27EEA120" w:rsidR="00B46A52" w:rsidRPr="001E68F7" w:rsidRDefault="00B46A52" w:rsidP="00B46A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873A0">
              <w:rPr>
                <w:rFonts w:ascii="Times New Roman" w:hAnsi="Times New Roman"/>
                <w:color w:val="000000"/>
              </w:rPr>
            </w:r>
            <w:r w:rsidR="00B873A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317A62F8" w14:textId="388EF47E" w:rsidR="00B46A52" w:rsidRPr="001E68F7" w:rsidRDefault="00B46A52" w:rsidP="00B46A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8"/>
            <w:shd w:val="clear" w:color="auto" w:fill="FFFFFF"/>
          </w:tcPr>
          <w:p w14:paraId="7DCA7AAD" w14:textId="34EED04E" w:rsidR="00B46A52" w:rsidRPr="001E68F7" w:rsidRDefault="00B46A52" w:rsidP="00B46A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Planowany termin wejścia w życie rozporządzenia to 14 dni od dnia ogłoszenia.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D16DD1">
        <w:trPr>
          <w:trHeight w:val="846"/>
        </w:trPr>
        <w:tc>
          <w:tcPr>
            <w:tcW w:w="11086" w:type="dxa"/>
            <w:gridSpan w:val="28"/>
            <w:shd w:val="clear" w:color="auto" w:fill="FFFFFF"/>
          </w:tcPr>
          <w:p w14:paraId="385FCD8C" w14:textId="054CD9F7" w:rsidR="00B46A52" w:rsidRPr="001E68F7" w:rsidRDefault="00B46A52" w:rsidP="00B46A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Dokonanie ewaluacji projektu możliwe będzie najwcześniej w ciągu 5 lat od momentu wejścia w życie przedmiotowego rozporządzenia, gdyż taki okres czasu umożliwia zaobserwowanie zmian i wskazanie korzyści wynikających z ich wprowadzenia. Ewaluacja zostanie przeprowadzona w oparciu o dane sprawozdawczo-rozliczeniowe NFZ za okres 5 lat.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8"/>
            <w:shd w:val="clear" w:color="auto" w:fill="FFFFFF"/>
          </w:tcPr>
          <w:p w14:paraId="1870F79F" w14:textId="474ED043" w:rsidR="00B46A52" w:rsidRPr="00627833" w:rsidRDefault="00975012" w:rsidP="00B46A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F0"/>
    <w:rsid w:val="00000BE5"/>
    <w:rsid w:val="00003EB4"/>
    <w:rsid w:val="000056C5"/>
    <w:rsid w:val="00023E73"/>
    <w:rsid w:val="00023F1C"/>
    <w:rsid w:val="00036BC2"/>
    <w:rsid w:val="000377D8"/>
    <w:rsid w:val="0005580B"/>
    <w:rsid w:val="000670E4"/>
    <w:rsid w:val="00080628"/>
    <w:rsid w:val="00083B89"/>
    <w:rsid w:val="00087B28"/>
    <w:rsid w:val="000A0372"/>
    <w:rsid w:val="000A0DAF"/>
    <w:rsid w:val="000A357C"/>
    <w:rsid w:val="000A3E45"/>
    <w:rsid w:val="000B41DF"/>
    <w:rsid w:val="000B749F"/>
    <w:rsid w:val="000C0BAB"/>
    <w:rsid w:val="000C34FC"/>
    <w:rsid w:val="000D0C4B"/>
    <w:rsid w:val="000D132E"/>
    <w:rsid w:val="000D508B"/>
    <w:rsid w:val="000D7875"/>
    <w:rsid w:val="000E0148"/>
    <w:rsid w:val="000E58C0"/>
    <w:rsid w:val="000E7202"/>
    <w:rsid w:val="000F07DB"/>
    <w:rsid w:val="000F086A"/>
    <w:rsid w:val="000F72D5"/>
    <w:rsid w:val="000F7677"/>
    <w:rsid w:val="00127B36"/>
    <w:rsid w:val="00134EF7"/>
    <w:rsid w:val="001431A2"/>
    <w:rsid w:val="00152E9A"/>
    <w:rsid w:val="0016133E"/>
    <w:rsid w:val="00173653"/>
    <w:rsid w:val="001738B1"/>
    <w:rsid w:val="00175CE9"/>
    <w:rsid w:val="00176880"/>
    <w:rsid w:val="001808AA"/>
    <w:rsid w:val="001869DD"/>
    <w:rsid w:val="001915D4"/>
    <w:rsid w:val="001A7736"/>
    <w:rsid w:val="001B4645"/>
    <w:rsid w:val="001B57FA"/>
    <w:rsid w:val="001B6CB7"/>
    <w:rsid w:val="001D398A"/>
    <w:rsid w:val="001E0D0B"/>
    <w:rsid w:val="001E1209"/>
    <w:rsid w:val="001E3279"/>
    <w:rsid w:val="001E68F7"/>
    <w:rsid w:val="001F0B2E"/>
    <w:rsid w:val="001F0E6F"/>
    <w:rsid w:val="001F2C4E"/>
    <w:rsid w:val="001F4ECB"/>
    <w:rsid w:val="00203597"/>
    <w:rsid w:val="00204850"/>
    <w:rsid w:val="0020656F"/>
    <w:rsid w:val="00213B8B"/>
    <w:rsid w:val="00217A12"/>
    <w:rsid w:val="00220DBF"/>
    <w:rsid w:val="00235677"/>
    <w:rsid w:val="00250A69"/>
    <w:rsid w:val="002528F5"/>
    <w:rsid w:val="0025429F"/>
    <w:rsid w:val="002601CE"/>
    <w:rsid w:val="0026596F"/>
    <w:rsid w:val="00272686"/>
    <w:rsid w:val="002837D2"/>
    <w:rsid w:val="0028705F"/>
    <w:rsid w:val="002926C2"/>
    <w:rsid w:val="00294116"/>
    <w:rsid w:val="002A3C71"/>
    <w:rsid w:val="002A43FD"/>
    <w:rsid w:val="002B7A7D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5B5"/>
    <w:rsid w:val="0031754E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61677"/>
    <w:rsid w:val="00363009"/>
    <w:rsid w:val="00363868"/>
    <w:rsid w:val="00365EAD"/>
    <w:rsid w:val="00366941"/>
    <w:rsid w:val="00370488"/>
    <w:rsid w:val="00384B4B"/>
    <w:rsid w:val="00386730"/>
    <w:rsid w:val="00393CE7"/>
    <w:rsid w:val="00394CC6"/>
    <w:rsid w:val="003A11B4"/>
    <w:rsid w:val="003B05D2"/>
    <w:rsid w:val="003C3011"/>
    <w:rsid w:val="003D181C"/>
    <w:rsid w:val="003E359E"/>
    <w:rsid w:val="003E42B4"/>
    <w:rsid w:val="00403A73"/>
    <w:rsid w:val="00403D22"/>
    <w:rsid w:val="004128D2"/>
    <w:rsid w:val="00417071"/>
    <w:rsid w:val="00417586"/>
    <w:rsid w:val="00422BDF"/>
    <w:rsid w:val="004347A1"/>
    <w:rsid w:val="00436BB1"/>
    <w:rsid w:val="00444151"/>
    <w:rsid w:val="0045168A"/>
    <w:rsid w:val="00455EBC"/>
    <w:rsid w:val="004578AA"/>
    <w:rsid w:val="00464E8A"/>
    <w:rsid w:val="00474C6E"/>
    <w:rsid w:val="00481E1B"/>
    <w:rsid w:val="004851E0"/>
    <w:rsid w:val="004877EC"/>
    <w:rsid w:val="0049067D"/>
    <w:rsid w:val="00492710"/>
    <w:rsid w:val="00497F37"/>
    <w:rsid w:val="004A0076"/>
    <w:rsid w:val="004A0EE7"/>
    <w:rsid w:val="004A11A1"/>
    <w:rsid w:val="004A653B"/>
    <w:rsid w:val="004A70FF"/>
    <w:rsid w:val="004B28D3"/>
    <w:rsid w:val="004B64C0"/>
    <w:rsid w:val="004D2491"/>
    <w:rsid w:val="004D2CF6"/>
    <w:rsid w:val="004D4B64"/>
    <w:rsid w:val="004D4BC4"/>
    <w:rsid w:val="004E2CEF"/>
    <w:rsid w:val="004E5860"/>
    <w:rsid w:val="004E6B46"/>
    <w:rsid w:val="004F32C7"/>
    <w:rsid w:val="004F3A66"/>
    <w:rsid w:val="00507C5A"/>
    <w:rsid w:val="00516030"/>
    <w:rsid w:val="00525E55"/>
    <w:rsid w:val="005339C5"/>
    <w:rsid w:val="00541F6F"/>
    <w:rsid w:val="00557B58"/>
    <w:rsid w:val="0056482D"/>
    <w:rsid w:val="00577B83"/>
    <w:rsid w:val="0058665A"/>
    <w:rsid w:val="005871C5"/>
    <w:rsid w:val="005871C7"/>
    <w:rsid w:val="00597A21"/>
    <w:rsid w:val="005A3513"/>
    <w:rsid w:val="005A6B96"/>
    <w:rsid w:val="005A73D2"/>
    <w:rsid w:val="005B22B6"/>
    <w:rsid w:val="005B4F4D"/>
    <w:rsid w:val="005B5795"/>
    <w:rsid w:val="005C59D9"/>
    <w:rsid w:val="005E0624"/>
    <w:rsid w:val="005F1723"/>
    <w:rsid w:val="005F390B"/>
    <w:rsid w:val="005F63A0"/>
    <w:rsid w:val="00627833"/>
    <w:rsid w:val="00627C9E"/>
    <w:rsid w:val="006346A7"/>
    <w:rsid w:val="0064530D"/>
    <w:rsid w:val="00656625"/>
    <w:rsid w:val="0066095C"/>
    <w:rsid w:val="00663065"/>
    <w:rsid w:val="00665D1B"/>
    <w:rsid w:val="00665F3B"/>
    <w:rsid w:val="00670C16"/>
    <w:rsid w:val="006745FF"/>
    <w:rsid w:val="006770E9"/>
    <w:rsid w:val="0068709F"/>
    <w:rsid w:val="00687EE3"/>
    <w:rsid w:val="006917A1"/>
    <w:rsid w:val="006B23E6"/>
    <w:rsid w:val="006B26CE"/>
    <w:rsid w:val="006B3AF1"/>
    <w:rsid w:val="006C2751"/>
    <w:rsid w:val="006C29EA"/>
    <w:rsid w:val="006D15C3"/>
    <w:rsid w:val="006D77E2"/>
    <w:rsid w:val="006E681F"/>
    <w:rsid w:val="006E6C2C"/>
    <w:rsid w:val="006E7508"/>
    <w:rsid w:val="006E7794"/>
    <w:rsid w:val="006F742A"/>
    <w:rsid w:val="0072495E"/>
    <w:rsid w:val="007254E4"/>
    <w:rsid w:val="00727606"/>
    <w:rsid w:val="00731A10"/>
    <w:rsid w:val="00732046"/>
    <w:rsid w:val="007363A3"/>
    <w:rsid w:val="00742F48"/>
    <w:rsid w:val="00750984"/>
    <w:rsid w:val="00753F99"/>
    <w:rsid w:val="00755D92"/>
    <w:rsid w:val="007568F7"/>
    <w:rsid w:val="007621CD"/>
    <w:rsid w:val="00764F8D"/>
    <w:rsid w:val="00767EEF"/>
    <w:rsid w:val="007744AC"/>
    <w:rsid w:val="00776076"/>
    <w:rsid w:val="0078693E"/>
    <w:rsid w:val="00794ED8"/>
    <w:rsid w:val="00796656"/>
    <w:rsid w:val="007A552C"/>
    <w:rsid w:val="007C05EE"/>
    <w:rsid w:val="007C2856"/>
    <w:rsid w:val="007D75E4"/>
    <w:rsid w:val="007E689A"/>
    <w:rsid w:val="00832B5D"/>
    <w:rsid w:val="00845C40"/>
    <w:rsid w:val="00850BBF"/>
    <w:rsid w:val="008679E3"/>
    <w:rsid w:val="008717E8"/>
    <w:rsid w:val="00872769"/>
    <w:rsid w:val="008818E1"/>
    <w:rsid w:val="00886242"/>
    <w:rsid w:val="00896A72"/>
    <w:rsid w:val="008A3BEE"/>
    <w:rsid w:val="008A4175"/>
    <w:rsid w:val="008A451D"/>
    <w:rsid w:val="008A4597"/>
    <w:rsid w:val="008B324F"/>
    <w:rsid w:val="008B5C8A"/>
    <w:rsid w:val="008C1339"/>
    <w:rsid w:val="008D0ACF"/>
    <w:rsid w:val="008D4302"/>
    <w:rsid w:val="008D7428"/>
    <w:rsid w:val="008E080C"/>
    <w:rsid w:val="008E13A2"/>
    <w:rsid w:val="008E5099"/>
    <w:rsid w:val="008E6693"/>
    <w:rsid w:val="008E72CE"/>
    <w:rsid w:val="008F2250"/>
    <w:rsid w:val="008F4721"/>
    <w:rsid w:val="0090551D"/>
    <w:rsid w:val="00913D79"/>
    <w:rsid w:val="0094015D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6971"/>
    <w:rsid w:val="009B6776"/>
    <w:rsid w:val="009C2CD7"/>
    <w:rsid w:val="009C5C40"/>
    <w:rsid w:val="009C6D10"/>
    <w:rsid w:val="009E6798"/>
    <w:rsid w:val="009F0C0C"/>
    <w:rsid w:val="009F24F9"/>
    <w:rsid w:val="009F3276"/>
    <w:rsid w:val="009F477A"/>
    <w:rsid w:val="00A01EBC"/>
    <w:rsid w:val="00A02741"/>
    <w:rsid w:val="00A47716"/>
    <w:rsid w:val="00A5386D"/>
    <w:rsid w:val="00A53B50"/>
    <w:rsid w:val="00A57218"/>
    <w:rsid w:val="00A61ED2"/>
    <w:rsid w:val="00A64A98"/>
    <w:rsid w:val="00AA31BB"/>
    <w:rsid w:val="00AB16B4"/>
    <w:rsid w:val="00AB7431"/>
    <w:rsid w:val="00AC4990"/>
    <w:rsid w:val="00AC5CD2"/>
    <w:rsid w:val="00AD40DA"/>
    <w:rsid w:val="00AE2FFA"/>
    <w:rsid w:val="00AE58FC"/>
    <w:rsid w:val="00B04AAD"/>
    <w:rsid w:val="00B20099"/>
    <w:rsid w:val="00B30712"/>
    <w:rsid w:val="00B42857"/>
    <w:rsid w:val="00B455A3"/>
    <w:rsid w:val="00B46A52"/>
    <w:rsid w:val="00B47824"/>
    <w:rsid w:val="00B50611"/>
    <w:rsid w:val="00B52019"/>
    <w:rsid w:val="00B563BD"/>
    <w:rsid w:val="00B60537"/>
    <w:rsid w:val="00B6428B"/>
    <w:rsid w:val="00B75DEE"/>
    <w:rsid w:val="00B801A0"/>
    <w:rsid w:val="00B82C94"/>
    <w:rsid w:val="00B85430"/>
    <w:rsid w:val="00B873A0"/>
    <w:rsid w:val="00BA0245"/>
    <w:rsid w:val="00BA02E1"/>
    <w:rsid w:val="00BA1F9A"/>
    <w:rsid w:val="00BA563F"/>
    <w:rsid w:val="00BA7E14"/>
    <w:rsid w:val="00BB48AA"/>
    <w:rsid w:val="00BB5C61"/>
    <w:rsid w:val="00BB708D"/>
    <w:rsid w:val="00BC7371"/>
    <w:rsid w:val="00BD0D8F"/>
    <w:rsid w:val="00BD3212"/>
    <w:rsid w:val="00BE34E1"/>
    <w:rsid w:val="00BE612B"/>
    <w:rsid w:val="00BF5290"/>
    <w:rsid w:val="00BF53B2"/>
    <w:rsid w:val="00BF56AA"/>
    <w:rsid w:val="00C05733"/>
    <w:rsid w:val="00C26F2A"/>
    <w:rsid w:val="00C30213"/>
    <w:rsid w:val="00C41551"/>
    <w:rsid w:val="00C42CFB"/>
    <w:rsid w:val="00C43478"/>
    <w:rsid w:val="00C610AD"/>
    <w:rsid w:val="00C6335B"/>
    <w:rsid w:val="00C679CC"/>
    <w:rsid w:val="00C7034C"/>
    <w:rsid w:val="00C724F4"/>
    <w:rsid w:val="00C737E1"/>
    <w:rsid w:val="00C74B91"/>
    <w:rsid w:val="00C75CC5"/>
    <w:rsid w:val="00C92B7C"/>
    <w:rsid w:val="00C97CFE"/>
    <w:rsid w:val="00CA0888"/>
    <w:rsid w:val="00CB505B"/>
    <w:rsid w:val="00CB57B0"/>
    <w:rsid w:val="00CC27FA"/>
    <w:rsid w:val="00CD2962"/>
    <w:rsid w:val="00CD494A"/>
    <w:rsid w:val="00CE1FE5"/>
    <w:rsid w:val="00CE221F"/>
    <w:rsid w:val="00CF11CF"/>
    <w:rsid w:val="00CF324B"/>
    <w:rsid w:val="00D00AEE"/>
    <w:rsid w:val="00D05127"/>
    <w:rsid w:val="00D14302"/>
    <w:rsid w:val="00D16DD1"/>
    <w:rsid w:val="00D21261"/>
    <w:rsid w:val="00D227CD"/>
    <w:rsid w:val="00D23BE6"/>
    <w:rsid w:val="00D327D1"/>
    <w:rsid w:val="00D44E33"/>
    <w:rsid w:val="00D47A78"/>
    <w:rsid w:val="00D527A0"/>
    <w:rsid w:val="00D52F37"/>
    <w:rsid w:val="00D56DF0"/>
    <w:rsid w:val="00D57F38"/>
    <w:rsid w:val="00D75E9A"/>
    <w:rsid w:val="00D764D2"/>
    <w:rsid w:val="00D85C43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E11BF5"/>
    <w:rsid w:val="00E247F0"/>
    <w:rsid w:val="00E36635"/>
    <w:rsid w:val="00E45052"/>
    <w:rsid w:val="00E45099"/>
    <w:rsid w:val="00E601E9"/>
    <w:rsid w:val="00E60C8C"/>
    <w:rsid w:val="00E727B7"/>
    <w:rsid w:val="00E7521E"/>
    <w:rsid w:val="00E84EAA"/>
    <w:rsid w:val="00E957DF"/>
    <w:rsid w:val="00E96285"/>
    <w:rsid w:val="00EA38C7"/>
    <w:rsid w:val="00EB19F4"/>
    <w:rsid w:val="00EB5604"/>
    <w:rsid w:val="00EB5D6D"/>
    <w:rsid w:val="00EC374E"/>
    <w:rsid w:val="00ED10E7"/>
    <w:rsid w:val="00ED6E56"/>
    <w:rsid w:val="00ED7A32"/>
    <w:rsid w:val="00F03308"/>
    <w:rsid w:val="00F1716F"/>
    <w:rsid w:val="00F20DCD"/>
    <w:rsid w:val="00F21A14"/>
    <w:rsid w:val="00F26D9A"/>
    <w:rsid w:val="00F407BA"/>
    <w:rsid w:val="00F46E4B"/>
    <w:rsid w:val="00F56037"/>
    <w:rsid w:val="00F57F23"/>
    <w:rsid w:val="00F6018C"/>
    <w:rsid w:val="00F63A41"/>
    <w:rsid w:val="00F70B48"/>
    <w:rsid w:val="00F715BB"/>
    <w:rsid w:val="00F768AA"/>
    <w:rsid w:val="00F86500"/>
    <w:rsid w:val="00F940F6"/>
    <w:rsid w:val="00F94105"/>
    <w:rsid w:val="00F95124"/>
    <w:rsid w:val="00F9782A"/>
    <w:rsid w:val="00FA6A80"/>
    <w:rsid w:val="00FB5BFA"/>
    <w:rsid w:val="00FC2AF9"/>
    <w:rsid w:val="00FD25F0"/>
    <w:rsid w:val="00FD38E0"/>
    <w:rsid w:val="00FE4B38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chartTrackingRefBased/>
  <w15:docId w15:val="{1549E8A3-E7EE-4255-8D92-44C03F9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lino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E3E3-4585-46BC-9EDD-6B016A53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Ilarska Joanna</dc:creator>
  <cp:keywords/>
  <dc:description/>
  <cp:lastModifiedBy>Jakubik Anna</cp:lastModifiedBy>
  <cp:revision>3</cp:revision>
  <cp:lastPrinted>2020-01-09T15:21:00Z</cp:lastPrinted>
  <dcterms:created xsi:type="dcterms:W3CDTF">2022-04-08T09:15:00Z</dcterms:created>
  <dcterms:modified xsi:type="dcterms:W3CDTF">2022-04-08T12:00:00Z</dcterms:modified>
</cp:coreProperties>
</file>